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A9B32" w14:textId="0D796BDE" w:rsidR="00E936D1" w:rsidRPr="00D6406A" w:rsidRDefault="006A66DD" w:rsidP="003536A4">
      <w:pPr>
        <w:spacing w:after="60" w:line="240" w:lineRule="auto"/>
        <w:jc w:val="center"/>
        <w:rPr>
          <w:b/>
          <w:sz w:val="28"/>
          <w:szCs w:val="28"/>
        </w:rPr>
      </w:pPr>
      <w:bookmarkStart w:id="0" w:name="_GoBack"/>
      <w:bookmarkEnd w:id="0"/>
      <w:r>
        <w:rPr>
          <w:b/>
          <w:sz w:val="28"/>
          <w:szCs w:val="28"/>
        </w:rPr>
        <w:t xml:space="preserve">Common Core </w:t>
      </w:r>
      <w:r w:rsidR="00621C51">
        <w:rPr>
          <w:b/>
          <w:sz w:val="28"/>
          <w:szCs w:val="28"/>
        </w:rPr>
        <w:t>Areas of Focus</w:t>
      </w:r>
    </w:p>
    <w:tbl>
      <w:tblPr>
        <w:tblStyle w:val="TableGrid"/>
        <w:tblW w:w="14400" w:type="dxa"/>
        <w:tblInd w:w="-612" w:type="dxa"/>
        <w:tblLook w:val="04A0" w:firstRow="1" w:lastRow="0" w:firstColumn="1" w:lastColumn="0" w:noHBand="0" w:noVBand="1"/>
      </w:tblPr>
      <w:tblGrid>
        <w:gridCol w:w="900"/>
        <w:gridCol w:w="3240"/>
        <w:gridCol w:w="4860"/>
        <w:gridCol w:w="5400"/>
      </w:tblGrid>
      <w:tr w:rsidR="00831128" w14:paraId="0124978C" w14:textId="77777777" w:rsidTr="003536A4">
        <w:tc>
          <w:tcPr>
            <w:tcW w:w="14400" w:type="dxa"/>
            <w:gridSpan w:val="4"/>
            <w:shd w:val="clear" w:color="auto" w:fill="BFBFBF" w:themeFill="background1" w:themeFillShade="BF"/>
          </w:tcPr>
          <w:p w14:paraId="3E208895" w14:textId="062BD076" w:rsidR="00831128" w:rsidRPr="00DC598F" w:rsidRDefault="00551942" w:rsidP="00831128">
            <w:pPr>
              <w:jc w:val="center"/>
              <w:rPr>
                <w:b/>
                <w:sz w:val="24"/>
                <w:szCs w:val="24"/>
              </w:rPr>
            </w:pPr>
            <w:r>
              <w:rPr>
                <w:b/>
                <w:sz w:val="24"/>
                <w:szCs w:val="24"/>
              </w:rPr>
              <w:t>Areas of Focus</w:t>
            </w:r>
            <w:r w:rsidR="00831128" w:rsidRPr="00DC598F">
              <w:rPr>
                <w:b/>
                <w:sz w:val="24"/>
                <w:szCs w:val="24"/>
              </w:rPr>
              <w:t xml:space="preserve"> in ELA/Literacy</w:t>
            </w:r>
          </w:p>
        </w:tc>
      </w:tr>
      <w:tr w:rsidR="00831128" w14:paraId="77AC1BF1" w14:textId="77777777" w:rsidTr="003536A4">
        <w:tc>
          <w:tcPr>
            <w:tcW w:w="900" w:type="dxa"/>
            <w:shd w:val="clear" w:color="auto" w:fill="D9D9D9" w:themeFill="background1" w:themeFillShade="D9"/>
          </w:tcPr>
          <w:p w14:paraId="73D67A0C" w14:textId="77777777" w:rsidR="00831128" w:rsidRPr="00DC598F" w:rsidRDefault="00831128">
            <w:pPr>
              <w:rPr>
                <w:sz w:val="24"/>
                <w:szCs w:val="24"/>
              </w:rPr>
            </w:pPr>
          </w:p>
        </w:tc>
        <w:tc>
          <w:tcPr>
            <w:tcW w:w="3240" w:type="dxa"/>
            <w:shd w:val="clear" w:color="auto" w:fill="D9D9D9" w:themeFill="background1" w:themeFillShade="D9"/>
          </w:tcPr>
          <w:p w14:paraId="0615144D" w14:textId="59E8E3CE" w:rsidR="00831128" w:rsidRPr="00DC598F" w:rsidRDefault="00621C51">
            <w:pPr>
              <w:rPr>
                <w:b/>
                <w:sz w:val="24"/>
                <w:szCs w:val="24"/>
              </w:rPr>
            </w:pPr>
            <w:r>
              <w:rPr>
                <w:b/>
                <w:sz w:val="24"/>
                <w:szCs w:val="24"/>
              </w:rPr>
              <w:t>Focus Area</w:t>
            </w:r>
          </w:p>
        </w:tc>
        <w:tc>
          <w:tcPr>
            <w:tcW w:w="4860" w:type="dxa"/>
            <w:shd w:val="clear" w:color="auto" w:fill="D9D9D9" w:themeFill="background1" w:themeFillShade="D9"/>
          </w:tcPr>
          <w:p w14:paraId="71B8893D" w14:textId="77777777" w:rsidR="00831128" w:rsidRPr="00DC598F" w:rsidRDefault="00831128">
            <w:pPr>
              <w:rPr>
                <w:b/>
                <w:sz w:val="24"/>
                <w:szCs w:val="24"/>
              </w:rPr>
            </w:pPr>
            <w:r w:rsidRPr="00DC598F">
              <w:rPr>
                <w:b/>
                <w:sz w:val="24"/>
                <w:szCs w:val="24"/>
              </w:rPr>
              <w:t xml:space="preserve">Explanation </w:t>
            </w:r>
          </w:p>
        </w:tc>
        <w:tc>
          <w:tcPr>
            <w:tcW w:w="5400" w:type="dxa"/>
            <w:shd w:val="clear" w:color="auto" w:fill="D9D9D9" w:themeFill="background1" w:themeFillShade="D9"/>
          </w:tcPr>
          <w:p w14:paraId="4F75DD00" w14:textId="77777777" w:rsidR="00831128" w:rsidRPr="00DC598F" w:rsidRDefault="00831128">
            <w:pPr>
              <w:rPr>
                <w:b/>
                <w:sz w:val="24"/>
                <w:szCs w:val="24"/>
              </w:rPr>
            </w:pPr>
            <w:r w:rsidRPr="00DC598F">
              <w:rPr>
                <w:b/>
                <w:sz w:val="24"/>
                <w:szCs w:val="24"/>
              </w:rPr>
              <w:t>Reflection Question?</w:t>
            </w:r>
          </w:p>
        </w:tc>
      </w:tr>
      <w:tr w:rsidR="00FE78B2" w14:paraId="584E6ECD" w14:textId="77777777" w:rsidTr="003536A4">
        <w:tc>
          <w:tcPr>
            <w:tcW w:w="900" w:type="dxa"/>
            <w:shd w:val="clear" w:color="auto" w:fill="D9D9D9" w:themeFill="background1" w:themeFillShade="D9"/>
          </w:tcPr>
          <w:p w14:paraId="20B8EFAD" w14:textId="567844BB" w:rsidR="00FE78B2" w:rsidRDefault="00621C51">
            <w:r>
              <w:t xml:space="preserve">Focus Area </w:t>
            </w:r>
            <w:r w:rsidR="00FE78B2">
              <w:t>1</w:t>
            </w:r>
          </w:p>
        </w:tc>
        <w:tc>
          <w:tcPr>
            <w:tcW w:w="3240" w:type="dxa"/>
          </w:tcPr>
          <w:p w14:paraId="71CF94E3" w14:textId="77777777" w:rsidR="00FE78B2" w:rsidRPr="00FE78B2" w:rsidRDefault="00FE78B2">
            <w:pPr>
              <w:rPr>
                <w:b/>
              </w:rPr>
            </w:pPr>
            <w:r w:rsidRPr="00FE78B2">
              <w:rPr>
                <w:b/>
              </w:rPr>
              <w:t xml:space="preserve">Text </w:t>
            </w:r>
            <w:r w:rsidRPr="00BB5EF3">
              <w:rPr>
                <w:b/>
              </w:rPr>
              <w:t>Complexity</w:t>
            </w:r>
            <w:r w:rsidRPr="00FE78B2">
              <w:rPr>
                <w:b/>
              </w:rPr>
              <w:t xml:space="preserve"> </w:t>
            </w:r>
            <w:r>
              <w:rPr>
                <w:b/>
              </w:rPr>
              <w:t>and Rang</w:t>
            </w:r>
            <w:r w:rsidR="00831128">
              <w:rPr>
                <w:b/>
              </w:rPr>
              <w:t>e</w:t>
            </w:r>
          </w:p>
        </w:tc>
        <w:tc>
          <w:tcPr>
            <w:tcW w:w="4860" w:type="dxa"/>
          </w:tcPr>
          <w:p w14:paraId="438FCEE3" w14:textId="72205AF4" w:rsidR="00FE78B2" w:rsidRDefault="00831128" w:rsidP="00855773">
            <w:r>
              <w:t xml:space="preserve">Students should read a range of appropriately complex texts.  </w:t>
            </w:r>
            <w:r w:rsidR="00E36C68">
              <w:t>During the school year at least 50% of what elementary students read should be informational text. At the secondary level students should spend at least 7</w:t>
            </w:r>
            <w:r w:rsidR="00E74B34">
              <w:t>0</w:t>
            </w:r>
            <w:r w:rsidR="00E36C68">
              <w:t>% of their time with informational text.  This percentage is based on what students read across all disciplines</w:t>
            </w:r>
            <w:r w:rsidR="00855773">
              <w:t xml:space="preserve">, not just in their ELA class. </w:t>
            </w:r>
            <w:r w:rsidR="00621C51">
              <w:t xml:space="preserve"> In ELA, students read literature and literary nonfiction.  </w:t>
            </w:r>
            <w:r w:rsidR="00E74B34">
              <w:t xml:space="preserve">They </w:t>
            </w:r>
            <w:r w:rsidR="00621C51">
              <w:t>read historical, scientific, and technical texts across the other content areas</w:t>
            </w:r>
            <w:r w:rsidR="00E74B34">
              <w:t xml:space="preserve"> and disciplines</w:t>
            </w:r>
            <w:r w:rsidR="00621C51">
              <w:t xml:space="preserve">. </w:t>
            </w:r>
          </w:p>
        </w:tc>
        <w:tc>
          <w:tcPr>
            <w:tcW w:w="5400" w:type="dxa"/>
          </w:tcPr>
          <w:p w14:paraId="7F00AF35" w14:textId="77777777" w:rsidR="00FE78B2" w:rsidRDefault="00831128">
            <w:r>
              <w:t xml:space="preserve">What percentage of my texts are complex enough to help prepare students for college and careers? What percentage of my texts are literary (stories, drama, poetry)? What percentage of my texts are informational (literary nonfiction, historical, scientific, and technical texts)? </w:t>
            </w:r>
          </w:p>
        </w:tc>
      </w:tr>
      <w:tr w:rsidR="00FE78B2" w14:paraId="4245A0D9" w14:textId="77777777" w:rsidTr="003536A4">
        <w:tc>
          <w:tcPr>
            <w:tcW w:w="900" w:type="dxa"/>
            <w:shd w:val="clear" w:color="auto" w:fill="D9D9D9" w:themeFill="background1" w:themeFillShade="D9"/>
          </w:tcPr>
          <w:p w14:paraId="53FD93B3" w14:textId="7A7B74D1" w:rsidR="00FE78B2" w:rsidRDefault="00621C51">
            <w:r>
              <w:t xml:space="preserve">Focus Area </w:t>
            </w:r>
            <w:r w:rsidR="00FE78B2">
              <w:t xml:space="preserve"> </w:t>
            </w:r>
            <w:r w:rsidR="00855773">
              <w:t>2</w:t>
            </w:r>
          </w:p>
        </w:tc>
        <w:tc>
          <w:tcPr>
            <w:tcW w:w="3240" w:type="dxa"/>
          </w:tcPr>
          <w:p w14:paraId="42182314" w14:textId="05E51D11" w:rsidR="00FE78B2" w:rsidRDefault="00855773">
            <w:pPr>
              <w:rPr>
                <w:b/>
              </w:rPr>
            </w:pPr>
            <w:r>
              <w:rPr>
                <w:b/>
              </w:rPr>
              <w:t>Read Closely</w:t>
            </w:r>
            <w:r w:rsidR="006E53C3">
              <w:rPr>
                <w:b/>
              </w:rPr>
              <w:t xml:space="preserve"> and Critically</w:t>
            </w:r>
            <w:r>
              <w:rPr>
                <w:b/>
              </w:rPr>
              <w:t xml:space="preserve"> to A</w:t>
            </w:r>
            <w:r w:rsidR="00831128" w:rsidRPr="00BB5EF3">
              <w:rPr>
                <w:b/>
              </w:rPr>
              <w:t>nalyze</w:t>
            </w:r>
            <w:r>
              <w:rPr>
                <w:b/>
              </w:rPr>
              <w:t>, Infer</w:t>
            </w:r>
            <w:r w:rsidR="006E53C3">
              <w:rPr>
                <w:b/>
              </w:rPr>
              <w:t>,</w:t>
            </w:r>
            <w:r>
              <w:rPr>
                <w:b/>
              </w:rPr>
              <w:t xml:space="preserve"> </w:t>
            </w:r>
            <w:r w:rsidR="006E53C3">
              <w:rPr>
                <w:b/>
              </w:rPr>
              <w:t>Provide</w:t>
            </w:r>
            <w:r>
              <w:rPr>
                <w:b/>
              </w:rPr>
              <w:t xml:space="preserve"> E</w:t>
            </w:r>
            <w:r w:rsidR="00FE78B2" w:rsidRPr="00BB5EF3">
              <w:rPr>
                <w:b/>
              </w:rPr>
              <w:t>vidence</w:t>
            </w:r>
            <w:r w:rsidR="006E53C3">
              <w:rPr>
                <w:b/>
              </w:rPr>
              <w:t>, Synthesize,</w:t>
            </w:r>
            <w:r w:rsidR="005C7D0C">
              <w:rPr>
                <w:b/>
              </w:rPr>
              <w:t xml:space="preserve"> </w:t>
            </w:r>
            <w:r w:rsidR="00E74B34">
              <w:rPr>
                <w:b/>
              </w:rPr>
              <w:t xml:space="preserve">and </w:t>
            </w:r>
            <w:r w:rsidR="006E53C3">
              <w:rPr>
                <w:b/>
              </w:rPr>
              <w:t>Apply</w:t>
            </w:r>
          </w:p>
          <w:p w14:paraId="33068311" w14:textId="77777777" w:rsidR="006E53C3" w:rsidRPr="00BB5EF3" w:rsidRDefault="006E53C3">
            <w:pPr>
              <w:rPr>
                <w:b/>
              </w:rPr>
            </w:pPr>
          </w:p>
        </w:tc>
        <w:tc>
          <w:tcPr>
            <w:tcW w:w="4860" w:type="dxa"/>
          </w:tcPr>
          <w:p w14:paraId="1BDF03FC" w14:textId="4198BFE3" w:rsidR="00FE78B2" w:rsidRDefault="00831128" w:rsidP="00110C3F">
            <w:r>
              <w:t xml:space="preserve">Classroom conversations and assignments are deeply connected to the text on the page.  </w:t>
            </w:r>
            <w:r w:rsidR="00855773">
              <w:t>Teachers ask text-dependent</w:t>
            </w:r>
            <w:r w:rsidR="006E53C3">
              <w:t>, close</w:t>
            </w:r>
            <w:r w:rsidR="00621C51">
              <w:t xml:space="preserve"> and critical reading questions. Students comprehend as well as critique.</w:t>
            </w:r>
          </w:p>
        </w:tc>
        <w:tc>
          <w:tcPr>
            <w:tcW w:w="5400" w:type="dxa"/>
          </w:tcPr>
          <w:p w14:paraId="55A8A819" w14:textId="1C062F79" w:rsidR="00FE78B2" w:rsidRDefault="00831128" w:rsidP="00831128">
            <w:r>
              <w:t>What percentage of classroom time do we spend closely examining text? What percentage of our higher order questions are dependent on close</w:t>
            </w:r>
            <w:r w:rsidR="00E74B34">
              <w:t xml:space="preserve"> and critical</w:t>
            </w:r>
            <w:r>
              <w:t xml:space="preserve"> reading</w:t>
            </w:r>
            <w:r w:rsidR="00110C3F">
              <w:t>?</w:t>
            </w:r>
            <w:r w:rsidR="006E53C3">
              <w:t xml:space="preserve"> How do we ask students to apply what they have read to solve real-world problems?</w:t>
            </w:r>
          </w:p>
        </w:tc>
      </w:tr>
      <w:tr w:rsidR="00FE78B2" w14:paraId="5E00FC95" w14:textId="77777777" w:rsidTr="003536A4">
        <w:tc>
          <w:tcPr>
            <w:tcW w:w="900" w:type="dxa"/>
            <w:shd w:val="clear" w:color="auto" w:fill="D9D9D9" w:themeFill="background1" w:themeFillShade="D9"/>
          </w:tcPr>
          <w:p w14:paraId="04386F8A" w14:textId="3457FDCA" w:rsidR="00FE78B2" w:rsidRDefault="00621C51">
            <w:r>
              <w:t xml:space="preserve">Focus Area  </w:t>
            </w:r>
            <w:r w:rsidR="00855773">
              <w:t>3</w:t>
            </w:r>
          </w:p>
        </w:tc>
        <w:tc>
          <w:tcPr>
            <w:tcW w:w="3240" w:type="dxa"/>
          </w:tcPr>
          <w:p w14:paraId="041BB849" w14:textId="77777777" w:rsidR="00FE78B2" w:rsidRPr="00BB5EF3" w:rsidRDefault="00855773">
            <w:pPr>
              <w:rPr>
                <w:b/>
              </w:rPr>
            </w:pPr>
            <w:r>
              <w:rPr>
                <w:b/>
              </w:rPr>
              <w:t>Write to S</w:t>
            </w:r>
            <w:r w:rsidR="00FE78B2" w:rsidRPr="00BB5EF3">
              <w:rPr>
                <w:b/>
              </w:rPr>
              <w:t>ources</w:t>
            </w:r>
          </w:p>
        </w:tc>
        <w:tc>
          <w:tcPr>
            <w:tcW w:w="4860" w:type="dxa"/>
          </w:tcPr>
          <w:p w14:paraId="36797002" w14:textId="77777777" w:rsidR="00FE78B2" w:rsidRDefault="00110C3F" w:rsidP="00110C3F">
            <w:r>
              <w:t xml:space="preserve">Students spend time examining text and putting their thoughts about it into writing.  </w:t>
            </w:r>
            <w:r w:rsidR="0026626D">
              <w:t>Students write in response to the texts they read.</w:t>
            </w:r>
          </w:p>
        </w:tc>
        <w:tc>
          <w:tcPr>
            <w:tcW w:w="5400" w:type="dxa"/>
          </w:tcPr>
          <w:p w14:paraId="6BCACC00" w14:textId="77777777" w:rsidR="00FE78B2" w:rsidRDefault="00831128">
            <w:r>
              <w:t xml:space="preserve">How often do students write about what they read? </w:t>
            </w:r>
          </w:p>
        </w:tc>
      </w:tr>
      <w:tr w:rsidR="00FE78B2" w14:paraId="427FCDFF" w14:textId="77777777" w:rsidTr="003536A4">
        <w:tc>
          <w:tcPr>
            <w:tcW w:w="900" w:type="dxa"/>
            <w:shd w:val="clear" w:color="auto" w:fill="D9D9D9" w:themeFill="background1" w:themeFillShade="D9"/>
          </w:tcPr>
          <w:p w14:paraId="66E6BF36" w14:textId="2EAFF724" w:rsidR="00FE78B2" w:rsidRDefault="00621C51">
            <w:r>
              <w:t xml:space="preserve">Focus Area  </w:t>
            </w:r>
            <w:r w:rsidR="00855773">
              <w:t>4</w:t>
            </w:r>
          </w:p>
        </w:tc>
        <w:tc>
          <w:tcPr>
            <w:tcW w:w="3240" w:type="dxa"/>
          </w:tcPr>
          <w:p w14:paraId="3D4267B7" w14:textId="77777777" w:rsidR="00FE78B2" w:rsidRPr="00BB5EF3" w:rsidRDefault="00855773">
            <w:pPr>
              <w:rPr>
                <w:b/>
              </w:rPr>
            </w:pPr>
            <w:r>
              <w:rPr>
                <w:b/>
              </w:rPr>
              <w:t>Short, Focused R</w:t>
            </w:r>
            <w:r w:rsidR="00FE78B2" w:rsidRPr="00BB5EF3">
              <w:rPr>
                <w:b/>
              </w:rPr>
              <w:t xml:space="preserve">esearch </w:t>
            </w:r>
          </w:p>
        </w:tc>
        <w:tc>
          <w:tcPr>
            <w:tcW w:w="4860" w:type="dxa"/>
          </w:tcPr>
          <w:p w14:paraId="37919CF1" w14:textId="490D7E7C" w:rsidR="00FE78B2" w:rsidRDefault="00831128" w:rsidP="003536A4">
            <w:r>
              <w:t xml:space="preserve">Students should have opportunities to take part in </w:t>
            </w:r>
            <w:r w:rsidR="009A2EC1">
              <w:t>short, focused</w:t>
            </w:r>
            <w:r>
              <w:t xml:space="preserve"> research projects throughout the year</w:t>
            </w:r>
            <w:r w:rsidR="00855773">
              <w:t xml:space="preserve">. </w:t>
            </w:r>
          </w:p>
        </w:tc>
        <w:tc>
          <w:tcPr>
            <w:tcW w:w="5400" w:type="dxa"/>
          </w:tcPr>
          <w:p w14:paraId="683E8BA3" w14:textId="77777777" w:rsidR="00FE78B2" w:rsidRDefault="004B3046" w:rsidP="004B3046">
            <w:r>
              <w:t>What opportunities do my students have to</w:t>
            </w:r>
            <w:r w:rsidR="00E36C68">
              <w:t xml:space="preserve"> participate in </w:t>
            </w:r>
            <w:r w:rsidR="00831128">
              <w:t xml:space="preserve">short-focused research </w:t>
            </w:r>
            <w:r>
              <w:t>projects</w:t>
            </w:r>
            <w:r w:rsidR="00855773">
              <w:t xml:space="preserve">?  </w:t>
            </w:r>
          </w:p>
        </w:tc>
      </w:tr>
      <w:tr w:rsidR="00FE78B2" w14:paraId="68F44C0C" w14:textId="77777777" w:rsidTr="003536A4">
        <w:tc>
          <w:tcPr>
            <w:tcW w:w="900" w:type="dxa"/>
            <w:shd w:val="clear" w:color="auto" w:fill="D9D9D9" w:themeFill="background1" w:themeFillShade="D9"/>
          </w:tcPr>
          <w:p w14:paraId="3C0E8B0D" w14:textId="25BA241B" w:rsidR="00FE78B2" w:rsidRDefault="00621C51">
            <w:r>
              <w:t xml:space="preserve">Focus Area  </w:t>
            </w:r>
            <w:r w:rsidR="00855773">
              <w:t>5</w:t>
            </w:r>
          </w:p>
        </w:tc>
        <w:tc>
          <w:tcPr>
            <w:tcW w:w="3240" w:type="dxa"/>
          </w:tcPr>
          <w:p w14:paraId="14F93C47" w14:textId="77777777" w:rsidR="00FE78B2" w:rsidRPr="00BB5EF3" w:rsidRDefault="00FE78B2">
            <w:pPr>
              <w:rPr>
                <w:b/>
              </w:rPr>
            </w:pPr>
            <w:r w:rsidRPr="00BB5EF3">
              <w:rPr>
                <w:b/>
              </w:rPr>
              <w:t>Written and Spoken Argument</w:t>
            </w:r>
          </w:p>
        </w:tc>
        <w:tc>
          <w:tcPr>
            <w:tcW w:w="4860" w:type="dxa"/>
          </w:tcPr>
          <w:p w14:paraId="388A3F5E" w14:textId="7107D71A" w:rsidR="00FE78B2" w:rsidRDefault="00831128" w:rsidP="003536A4">
            <w:r>
              <w:t>Student</w:t>
            </w:r>
            <w:r w:rsidR="00855773">
              <w:t>s</w:t>
            </w:r>
            <w:r>
              <w:t xml:space="preserve"> should be able to establish and support an opinion </w:t>
            </w:r>
            <w:r w:rsidR="000B76CF">
              <w:t>(</w:t>
            </w:r>
            <w:r w:rsidR="006E53C3">
              <w:t>K</w:t>
            </w:r>
            <w:r w:rsidR="000B76CF">
              <w:t xml:space="preserve">-5) </w:t>
            </w:r>
            <w:r>
              <w:t xml:space="preserve">or claim </w:t>
            </w:r>
            <w:r w:rsidR="000B76CF">
              <w:t xml:space="preserve">(6-12) </w:t>
            </w:r>
            <w:r>
              <w:t xml:space="preserve">with clear textual evidence.  </w:t>
            </w:r>
          </w:p>
        </w:tc>
        <w:tc>
          <w:tcPr>
            <w:tcW w:w="5400" w:type="dxa"/>
          </w:tcPr>
          <w:p w14:paraId="2AADCF3E" w14:textId="77777777" w:rsidR="00FE78B2" w:rsidRDefault="00831128" w:rsidP="00831128">
            <w:r>
              <w:t xml:space="preserve">What percentage of student writing is spent on the written argument? </w:t>
            </w:r>
          </w:p>
        </w:tc>
      </w:tr>
      <w:tr w:rsidR="00FE78B2" w14:paraId="1E2A7F03" w14:textId="77777777" w:rsidTr="003536A4">
        <w:tc>
          <w:tcPr>
            <w:tcW w:w="900" w:type="dxa"/>
            <w:shd w:val="clear" w:color="auto" w:fill="D9D9D9" w:themeFill="background1" w:themeFillShade="D9"/>
          </w:tcPr>
          <w:p w14:paraId="7F164FFB" w14:textId="54D40298" w:rsidR="00FE78B2" w:rsidRDefault="00621C51">
            <w:r>
              <w:t xml:space="preserve">Focus Area </w:t>
            </w:r>
            <w:r w:rsidR="00FE78B2">
              <w:t xml:space="preserve"> </w:t>
            </w:r>
            <w:r w:rsidR="00855773">
              <w:t>6</w:t>
            </w:r>
          </w:p>
        </w:tc>
        <w:tc>
          <w:tcPr>
            <w:tcW w:w="3240" w:type="dxa"/>
          </w:tcPr>
          <w:p w14:paraId="16075868" w14:textId="77777777" w:rsidR="00FE78B2" w:rsidRPr="00BB5EF3" w:rsidRDefault="00FE78B2">
            <w:pPr>
              <w:rPr>
                <w:b/>
              </w:rPr>
            </w:pPr>
            <w:r w:rsidRPr="00BB5EF3">
              <w:rPr>
                <w:b/>
              </w:rPr>
              <w:t xml:space="preserve">Academic Vocabulary </w:t>
            </w:r>
          </w:p>
        </w:tc>
        <w:tc>
          <w:tcPr>
            <w:tcW w:w="4860" w:type="dxa"/>
          </w:tcPr>
          <w:p w14:paraId="32D749F3" w14:textId="65EA20BB" w:rsidR="00FE78B2" w:rsidRDefault="00110C3F" w:rsidP="003536A4">
            <w:r>
              <w:t xml:space="preserve">Academic vocabulary words cut across disciplines and are often undefined.  Words such as </w:t>
            </w:r>
            <w:r w:rsidRPr="00C273B6">
              <w:rPr>
                <w:i/>
              </w:rPr>
              <w:t>contrast</w:t>
            </w:r>
            <w:r w:rsidR="00C273B6">
              <w:t xml:space="preserve">, </w:t>
            </w:r>
            <w:r w:rsidRPr="00C273B6">
              <w:rPr>
                <w:i/>
              </w:rPr>
              <w:t>theory</w:t>
            </w:r>
            <w:r>
              <w:t xml:space="preserve">, </w:t>
            </w:r>
            <w:r w:rsidRPr="00C273B6">
              <w:rPr>
                <w:i/>
              </w:rPr>
              <w:t>synthesize</w:t>
            </w:r>
            <w:r>
              <w:t xml:space="preserve">, are essential for students in all courses.  </w:t>
            </w:r>
          </w:p>
        </w:tc>
        <w:tc>
          <w:tcPr>
            <w:tcW w:w="5400" w:type="dxa"/>
          </w:tcPr>
          <w:p w14:paraId="083CC3A6" w14:textId="77777777" w:rsidR="00FE78B2" w:rsidRDefault="00831128">
            <w:r>
              <w:t xml:space="preserve">What strategies are being used to help students build their academic vocabulary? </w:t>
            </w:r>
          </w:p>
        </w:tc>
      </w:tr>
      <w:tr w:rsidR="00855773" w14:paraId="28D640FA" w14:textId="77777777" w:rsidTr="003536A4">
        <w:tc>
          <w:tcPr>
            <w:tcW w:w="900" w:type="dxa"/>
            <w:shd w:val="clear" w:color="auto" w:fill="D9D9D9" w:themeFill="background1" w:themeFillShade="D9"/>
          </w:tcPr>
          <w:p w14:paraId="5F576969" w14:textId="61C73E3C" w:rsidR="00855773" w:rsidRDefault="00621C51" w:rsidP="002702E5">
            <w:r>
              <w:t xml:space="preserve">Focus Area </w:t>
            </w:r>
            <w:r w:rsidR="00855773">
              <w:t xml:space="preserve"> 7</w:t>
            </w:r>
          </w:p>
        </w:tc>
        <w:tc>
          <w:tcPr>
            <w:tcW w:w="3240" w:type="dxa"/>
          </w:tcPr>
          <w:p w14:paraId="3773BA63" w14:textId="77777777" w:rsidR="00855773" w:rsidRPr="00BB5EF3" w:rsidRDefault="009A2EC1" w:rsidP="002702E5">
            <w:pPr>
              <w:rPr>
                <w:b/>
              </w:rPr>
            </w:pPr>
            <w:r>
              <w:rPr>
                <w:b/>
              </w:rPr>
              <w:t xml:space="preserve">Shared </w:t>
            </w:r>
            <w:r w:rsidR="00331493">
              <w:rPr>
                <w:b/>
              </w:rPr>
              <w:t>R</w:t>
            </w:r>
            <w:r>
              <w:rPr>
                <w:b/>
              </w:rPr>
              <w:t xml:space="preserve">esponsibility for </w:t>
            </w:r>
            <w:r w:rsidR="00331493">
              <w:rPr>
                <w:b/>
              </w:rPr>
              <w:t>L</w:t>
            </w:r>
            <w:r>
              <w:rPr>
                <w:b/>
              </w:rPr>
              <w:t xml:space="preserve">iteracy </w:t>
            </w:r>
            <w:r w:rsidR="00331493">
              <w:rPr>
                <w:b/>
              </w:rPr>
              <w:t>D</w:t>
            </w:r>
            <w:r>
              <w:rPr>
                <w:b/>
              </w:rPr>
              <w:t xml:space="preserve">evelopment </w:t>
            </w:r>
            <w:r w:rsidR="00331493">
              <w:rPr>
                <w:b/>
              </w:rPr>
              <w:t>A</w:t>
            </w:r>
            <w:r>
              <w:rPr>
                <w:b/>
              </w:rPr>
              <w:t xml:space="preserve">mong </w:t>
            </w:r>
            <w:r w:rsidR="00331493">
              <w:rPr>
                <w:b/>
              </w:rPr>
              <w:t>A</w:t>
            </w:r>
            <w:r>
              <w:rPr>
                <w:b/>
              </w:rPr>
              <w:t xml:space="preserve">ll </w:t>
            </w:r>
            <w:r w:rsidR="00331493">
              <w:rPr>
                <w:b/>
              </w:rPr>
              <w:t>T</w:t>
            </w:r>
            <w:r>
              <w:rPr>
                <w:b/>
              </w:rPr>
              <w:t>eachers</w:t>
            </w:r>
          </w:p>
        </w:tc>
        <w:tc>
          <w:tcPr>
            <w:tcW w:w="4860" w:type="dxa"/>
          </w:tcPr>
          <w:p w14:paraId="6DC22840" w14:textId="33AB7E02" w:rsidR="00855773" w:rsidRDefault="00F51F53" w:rsidP="003536A4">
            <w:r>
              <w:t xml:space="preserve">Content area teachers help students read and write about sufficiently complex texts in their disciplines.  Time is spent closely </w:t>
            </w:r>
            <w:r w:rsidR="00551942">
              <w:t xml:space="preserve">and critically </w:t>
            </w:r>
            <w:r>
              <w:t xml:space="preserve">studying text to build knowledge about the particular discipline.  </w:t>
            </w:r>
          </w:p>
        </w:tc>
        <w:tc>
          <w:tcPr>
            <w:tcW w:w="5400" w:type="dxa"/>
          </w:tcPr>
          <w:p w14:paraId="4C8F199C" w14:textId="77777777" w:rsidR="00855773" w:rsidRDefault="00855773" w:rsidP="002702E5">
            <w:r>
              <w:t xml:space="preserve">Are literacy experiences emphasized in my </w:t>
            </w:r>
            <w:r w:rsidR="00F51F53">
              <w:t xml:space="preserve">content area </w:t>
            </w:r>
            <w:r>
              <w:t xml:space="preserve">classroom? To what degree? </w:t>
            </w:r>
          </w:p>
        </w:tc>
      </w:tr>
    </w:tbl>
    <w:p w14:paraId="3E877F5A" w14:textId="77777777" w:rsidR="00FE78B2" w:rsidRPr="003536A4" w:rsidRDefault="00FE78B2">
      <w:pPr>
        <w:rPr>
          <w:sz w:val="16"/>
          <w:szCs w:val="16"/>
        </w:rPr>
      </w:pPr>
    </w:p>
    <w:sectPr w:rsidR="00FE78B2" w:rsidRPr="003536A4" w:rsidSect="003536A4">
      <w:footerReference w:type="default" r:id="rId8"/>
      <w:pgSz w:w="15840" w:h="12240" w:orient="landscape"/>
      <w:pgMar w:top="634" w:right="1440" w:bottom="1008" w:left="1440" w:header="446" w:footer="545"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E4EE7" w14:textId="77777777" w:rsidR="003866F4" w:rsidRDefault="003866F4" w:rsidP="00C2563B">
      <w:pPr>
        <w:spacing w:after="0" w:line="240" w:lineRule="auto"/>
      </w:pPr>
      <w:r>
        <w:separator/>
      </w:r>
    </w:p>
  </w:endnote>
  <w:endnote w:type="continuationSeparator" w:id="0">
    <w:p w14:paraId="514BA5BD" w14:textId="77777777" w:rsidR="003866F4" w:rsidRDefault="003866F4" w:rsidP="00C25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79DE4" w14:textId="3F33C52E" w:rsidR="00C2563B" w:rsidRPr="003536A4" w:rsidRDefault="00E74B34">
    <w:pPr>
      <w:pStyle w:val="Footer"/>
    </w:pPr>
    <w:r>
      <w:rPr>
        <w:b/>
      </w:rPr>
      <w:t xml:space="preserve">                                                        </w:t>
    </w:r>
    <w:r w:rsidR="006E53C3">
      <w:rPr>
        <w:b/>
      </w:rPr>
      <w:t xml:space="preserve">May 2012 </w:t>
    </w:r>
    <w:r w:rsidR="006E53C3" w:rsidRPr="003536A4">
      <w:t>(Adapted from draft c</w:t>
    </w:r>
    <w:r w:rsidR="00C2563B" w:rsidRPr="003536A4">
      <w:t>reated by P</w:t>
    </w:r>
    <w:r w:rsidR="006E53C3" w:rsidRPr="003536A4">
      <w:t>.</w:t>
    </w:r>
    <w:r w:rsidR="00C2563B" w:rsidRPr="003536A4">
      <w:t xml:space="preserve"> Schatz, </w:t>
    </w:r>
    <w:r w:rsidR="006E53C3" w:rsidRPr="003536A4">
      <w:t>Hawaii ELA Specialist, Sept. 2011)</w:t>
    </w:r>
  </w:p>
  <w:p w14:paraId="2150EBF4" w14:textId="77777777" w:rsidR="00C2563B" w:rsidRDefault="00C256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BFB1F" w14:textId="77777777" w:rsidR="003866F4" w:rsidRDefault="003866F4" w:rsidP="00C2563B">
      <w:pPr>
        <w:spacing w:after="0" w:line="240" w:lineRule="auto"/>
      </w:pPr>
      <w:r>
        <w:separator/>
      </w:r>
    </w:p>
  </w:footnote>
  <w:footnote w:type="continuationSeparator" w:id="0">
    <w:p w14:paraId="59EAD47E" w14:textId="77777777" w:rsidR="003866F4" w:rsidRDefault="003866F4" w:rsidP="00C256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B2"/>
    <w:rsid w:val="00036561"/>
    <w:rsid w:val="00072F79"/>
    <w:rsid w:val="000B76CF"/>
    <w:rsid w:val="000E55DB"/>
    <w:rsid w:val="00110C3F"/>
    <w:rsid w:val="00122321"/>
    <w:rsid w:val="00145742"/>
    <w:rsid w:val="001E32B2"/>
    <w:rsid w:val="002400EE"/>
    <w:rsid w:val="00247C59"/>
    <w:rsid w:val="0026626D"/>
    <w:rsid w:val="00290BF9"/>
    <w:rsid w:val="003076FD"/>
    <w:rsid w:val="00331493"/>
    <w:rsid w:val="003536A4"/>
    <w:rsid w:val="003866F4"/>
    <w:rsid w:val="00443786"/>
    <w:rsid w:val="004623A0"/>
    <w:rsid w:val="0049508E"/>
    <w:rsid w:val="004B3046"/>
    <w:rsid w:val="004D30B1"/>
    <w:rsid w:val="00551942"/>
    <w:rsid w:val="005C7D0C"/>
    <w:rsid w:val="00621C51"/>
    <w:rsid w:val="00630417"/>
    <w:rsid w:val="006A66DD"/>
    <w:rsid w:val="006E2FD7"/>
    <w:rsid w:val="006E53C3"/>
    <w:rsid w:val="007038FB"/>
    <w:rsid w:val="007879C0"/>
    <w:rsid w:val="00795DC9"/>
    <w:rsid w:val="00831128"/>
    <w:rsid w:val="00855773"/>
    <w:rsid w:val="00873D8E"/>
    <w:rsid w:val="00876AEC"/>
    <w:rsid w:val="008D7C3B"/>
    <w:rsid w:val="009A2EC1"/>
    <w:rsid w:val="00A41520"/>
    <w:rsid w:val="00AB00B4"/>
    <w:rsid w:val="00B61020"/>
    <w:rsid w:val="00B74742"/>
    <w:rsid w:val="00BB5EF3"/>
    <w:rsid w:val="00C2563B"/>
    <w:rsid w:val="00C273B6"/>
    <w:rsid w:val="00CD67FE"/>
    <w:rsid w:val="00D6406A"/>
    <w:rsid w:val="00D80975"/>
    <w:rsid w:val="00D834D7"/>
    <w:rsid w:val="00DC598F"/>
    <w:rsid w:val="00E36C68"/>
    <w:rsid w:val="00E74B34"/>
    <w:rsid w:val="00E936D1"/>
    <w:rsid w:val="00F44E54"/>
    <w:rsid w:val="00F51F53"/>
    <w:rsid w:val="00FD6BC5"/>
    <w:rsid w:val="00FE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25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2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EC1"/>
    <w:rPr>
      <w:rFonts w:ascii="Tahoma" w:hAnsi="Tahoma" w:cs="Tahoma"/>
      <w:sz w:val="16"/>
      <w:szCs w:val="16"/>
    </w:rPr>
  </w:style>
  <w:style w:type="paragraph" w:styleId="Header">
    <w:name w:val="header"/>
    <w:basedOn w:val="Normal"/>
    <w:link w:val="HeaderChar"/>
    <w:uiPriority w:val="99"/>
    <w:unhideWhenUsed/>
    <w:rsid w:val="00C25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63B"/>
  </w:style>
  <w:style w:type="paragraph" w:styleId="Footer">
    <w:name w:val="footer"/>
    <w:basedOn w:val="Normal"/>
    <w:link w:val="FooterChar"/>
    <w:uiPriority w:val="99"/>
    <w:unhideWhenUsed/>
    <w:rsid w:val="00C25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6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2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EC1"/>
    <w:rPr>
      <w:rFonts w:ascii="Tahoma" w:hAnsi="Tahoma" w:cs="Tahoma"/>
      <w:sz w:val="16"/>
      <w:szCs w:val="16"/>
    </w:rPr>
  </w:style>
  <w:style w:type="paragraph" w:styleId="Header">
    <w:name w:val="header"/>
    <w:basedOn w:val="Normal"/>
    <w:link w:val="HeaderChar"/>
    <w:uiPriority w:val="99"/>
    <w:unhideWhenUsed/>
    <w:rsid w:val="00C25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63B"/>
  </w:style>
  <w:style w:type="paragraph" w:styleId="Footer">
    <w:name w:val="footer"/>
    <w:basedOn w:val="Normal"/>
    <w:link w:val="FooterChar"/>
    <w:uiPriority w:val="99"/>
    <w:unhideWhenUsed/>
    <w:rsid w:val="00C25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481C1-815C-FD43-921F-EC3FA1F4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2409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SCodere 611</dc:creator>
  <cp:lastModifiedBy>Elaine Weber</cp:lastModifiedBy>
  <cp:revision>2</cp:revision>
  <cp:lastPrinted>2011-08-31T21:22:00Z</cp:lastPrinted>
  <dcterms:created xsi:type="dcterms:W3CDTF">2012-05-15T11:34:00Z</dcterms:created>
  <dcterms:modified xsi:type="dcterms:W3CDTF">2012-05-15T11:34:00Z</dcterms:modified>
</cp:coreProperties>
</file>