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C1" w:rsidRDefault="000E218D" w:rsidP="006F6EF5">
      <w:pPr>
        <w:autoSpaceDE w:val="0"/>
        <w:autoSpaceDN w:val="0"/>
        <w:adjustRightInd w:val="0"/>
        <w:spacing w:after="0" w:line="240" w:lineRule="auto"/>
        <w:rPr>
          <w:rFonts w:ascii="AlienLeague" w:hAnsi="AlienLeague" w:cs="AlienLeague"/>
          <w:b/>
          <w:color w:val="8A171E"/>
        </w:rPr>
      </w:pPr>
      <w:bookmarkStart w:id="0" w:name="_GoBack"/>
      <w:bookmarkEnd w:id="0"/>
      <w:r>
        <w:rPr>
          <w:rFonts w:ascii="AlienLeague" w:hAnsi="AlienLeague" w:cs="AlienLeague"/>
          <w:b/>
          <w:color w:val="8A171E"/>
        </w:rPr>
        <w:t>Segment adapted from “</w:t>
      </w:r>
      <w:r>
        <w:rPr>
          <w:rFonts w:ascii="AlienLeague" w:hAnsi="AlienLeague" w:cs="AlienLeague"/>
          <w:b/>
          <w:color w:val="8A171E"/>
          <w:sz w:val="28"/>
          <w:szCs w:val="28"/>
        </w:rPr>
        <w:t>The Social Function of Science</w:t>
      </w:r>
      <w:r w:rsidR="006F6EF5">
        <w:rPr>
          <w:rFonts w:ascii="AlienLeague" w:hAnsi="AlienLeague" w:cs="AlienLeague"/>
          <w:b/>
          <w:color w:val="8A171E"/>
          <w:sz w:val="28"/>
          <w:szCs w:val="28"/>
        </w:rPr>
        <w:t>,</w:t>
      </w:r>
      <w:r>
        <w:rPr>
          <w:rFonts w:ascii="AlienLeague" w:hAnsi="AlienLeague" w:cs="AlienLeague"/>
          <w:b/>
          <w:color w:val="8A171E"/>
          <w:sz w:val="28"/>
          <w:szCs w:val="28"/>
        </w:rPr>
        <w:t xml:space="preserve">” </w:t>
      </w:r>
      <w:r w:rsidR="006F6EF5" w:rsidRPr="006F6EF5">
        <w:rPr>
          <w:rFonts w:ascii="AlienLeague" w:hAnsi="AlienLeague" w:cs="AlienLeague"/>
          <w:b/>
          <w:color w:val="8A171E"/>
        </w:rPr>
        <w:t>John D. Bernal (1939)</w:t>
      </w:r>
    </w:p>
    <w:p w:rsidR="00C36FC5" w:rsidRPr="006F6EF5" w:rsidRDefault="00C36FC5" w:rsidP="006F6EF5">
      <w:pPr>
        <w:autoSpaceDE w:val="0"/>
        <w:autoSpaceDN w:val="0"/>
        <w:adjustRightInd w:val="0"/>
        <w:spacing w:after="0" w:line="240" w:lineRule="auto"/>
        <w:rPr>
          <w:rFonts w:ascii="AlienLeague" w:hAnsi="AlienLeague" w:cs="AlienLeague"/>
          <w:b/>
          <w:color w:val="8A171E"/>
          <w:sz w:val="28"/>
          <w:szCs w:val="28"/>
        </w:rPr>
      </w:pPr>
      <w:r>
        <w:rPr>
          <w:rStyle w:val="Emphasis"/>
        </w:rPr>
        <w:t xml:space="preserve">The extract is taken from a book written sixty years ago by a British scientist in </w:t>
      </w:r>
      <w:proofErr w:type="gramStart"/>
      <w:r>
        <w:rPr>
          <w:rStyle w:val="Emphasis"/>
        </w:rPr>
        <w:t>which</w:t>
      </w:r>
      <w:proofErr w:type="gramEnd"/>
      <w:r>
        <w:rPr>
          <w:rStyle w:val="Emphasis"/>
        </w:rPr>
        <w:t xml:space="preserve"> he considers the relationship between science and 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  <w:gridCol w:w="702"/>
      </w:tblGrid>
      <w:tr w:rsidR="00673BC1" w:rsidTr="00C36FC5">
        <w:trPr>
          <w:trHeight w:val="10196"/>
        </w:trPr>
        <w:tc>
          <w:tcPr>
            <w:tcW w:w="9738" w:type="dxa"/>
          </w:tcPr>
          <w:p w:rsidR="006F6EF5" w:rsidRPr="00AC213F" w:rsidRDefault="006F6EF5" w:rsidP="006F6EF5">
            <w:pPr>
              <w:spacing w:before="120" w:line="312" w:lineRule="auto"/>
            </w:pPr>
            <w:r w:rsidRPr="00AC213F">
              <w:t>The pioneers of the teachi</w:t>
            </w:r>
            <w:r>
              <w:t>ng of science imagined that its</w:t>
            </w:r>
            <w:r w:rsidRPr="00AC213F">
              <w:t xml:space="preserve"> introduction into education would remove the </w:t>
            </w:r>
          </w:p>
          <w:p w:rsidR="006F6EF5" w:rsidRPr="00AC213F" w:rsidRDefault="006F6EF5" w:rsidP="006F6EF5">
            <w:pPr>
              <w:spacing w:line="312" w:lineRule="auto"/>
            </w:pPr>
            <w:proofErr w:type="gramStart"/>
            <w:r>
              <w:t>conventionality</w:t>
            </w:r>
            <w:proofErr w:type="gramEnd"/>
            <w:r>
              <w:t xml:space="preserve">, </w:t>
            </w:r>
            <w:r w:rsidRPr="00AC213F">
              <w:t>artificiality, and backward-</w:t>
            </w:r>
            <w:proofErr w:type="spellStart"/>
            <w:r w:rsidRPr="00AC213F">
              <w:t>lookin</w:t>
            </w:r>
            <w:r>
              <w:t>gness</w:t>
            </w:r>
            <w:proofErr w:type="spellEnd"/>
            <w:r>
              <w:t xml:space="preserve"> which were characteristic of classical studies;</w:t>
            </w:r>
            <w:r w:rsidRPr="00AC213F">
              <w:t xml:space="preserve"> but they were gravely disappointed. So, too, in their time had the humanists thought that the study of the classical authors in the original would banish at once the </w:t>
            </w:r>
            <w:r>
              <w:t xml:space="preserve">dull pedantry and superstition </w:t>
            </w:r>
            <w:r w:rsidRPr="00AC213F">
              <w:t xml:space="preserve">of mediaeval </w:t>
            </w:r>
            <w:proofErr w:type="gramStart"/>
            <w:r w:rsidRPr="00AC213F">
              <w:t>scholasticism.</w:t>
            </w:r>
            <w:proofErr w:type="gramEnd"/>
            <w:r w:rsidRPr="00AC213F">
              <w:t xml:space="preserve">  The professional schoolmaster was a match for both of them, </w:t>
            </w:r>
            <w:proofErr w:type="gramStart"/>
            <w:r w:rsidRPr="00AC213F">
              <w:t>and  has</w:t>
            </w:r>
            <w:proofErr w:type="gramEnd"/>
            <w:r w:rsidRPr="00AC213F">
              <w:t xml:space="preserve">  almost managed to make the understanding of chemical </w:t>
            </w:r>
            <w:r>
              <w:t>reactions</w:t>
            </w:r>
            <w:r w:rsidRPr="00AC213F">
              <w:t xml:space="preserve"> as dull and as dogmatic an affair as the reading of Virgil's </w:t>
            </w:r>
            <w:proofErr w:type="spellStart"/>
            <w:r w:rsidRPr="00AC213F">
              <w:t>Aeneid</w:t>
            </w:r>
            <w:proofErr w:type="spellEnd"/>
            <w:r w:rsidRPr="00AC213F">
              <w:t>.</w:t>
            </w:r>
          </w:p>
          <w:p w:rsidR="006F6EF5" w:rsidRPr="006F6EF5" w:rsidRDefault="006F6EF5" w:rsidP="006F6EF5">
            <w:pPr>
              <w:spacing w:line="312" w:lineRule="auto"/>
              <w:rPr>
                <w:sz w:val="16"/>
                <w:szCs w:val="16"/>
              </w:rPr>
            </w:pPr>
          </w:p>
          <w:p w:rsidR="006F6EF5" w:rsidRDefault="006F6EF5" w:rsidP="006F6EF5">
            <w:pPr>
              <w:spacing w:line="312" w:lineRule="auto"/>
            </w:pPr>
            <w:r w:rsidRPr="00AC213F">
              <w:t>The chief claim for the use of science in education is that it teaches a child something about the actual universe in which he is living, in making him acquainted with the results of scientific discovery, and a</w:t>
            </w:r>
            <w:r>
              <w:t>t the same time teaches him</w:t>
            </w:r>
            <w:r w:rsidRPr="00AC213F">
              <w:t xml:space="preserve"> how to think logically and inductively by studying scientific method. A certain limited succes</w:t>
            </w:r>
            <w:r>
              <w:t xml:space="preserve">s has been reached in the </w:t>
            </w:r>
            <w:r w:rsidRPr="00AC213F">
              <w:t>first of these aims, but practically none at all in the second. Those privileged members</w:t>
            </w:r>
            <w:r>
              <w:t xml:space="preserve"> of the community who have </w:t>
            </w:r>
            <w:r w:rsidRPr="00AC213F">
              <w:t xml:space="preserve">been through a secondary or public school education may be expected to know something about the elementary physics and chemistry of a hundred years ago, but they probably know hardly more than any bright boy can pick up from an interest in wireless or scientific hobbies out of school hours. </w:t>
            </w:r>
          </w:p>
          <w:p w:rsidR="006F6EF5" w:rsidRPr="006F6EF5" w:rsidRDefault="006F6EF5" w:rsidP="006F6EF5">
            <w:pPr>
              <w:spacing w:line="312" w:lineRule="auto"/>
              <w:rPr>
                <w:sz w:val="16"/>
                <w:szCs w:val="16"/>
              </w:rPr>
            </w:pPr>
          </w:p>
          <w:p w:rsidR="006F6EF5" w:rsidRDefault="006F6EF5" w:rsidP="006F6EF5">
            <w:pPr>
              <w:spacing w:line="312" w:lineRule="auto"/>
            </w:pPr>
            <w:r w:rsidRPr="00AC213F">
              <w:t xml:space="preserve"> As to the learning of scientific method, the whole thing is palpably a farce. Actually, for the convenience of teachers and the </w:t>
            </w:r>
            <w:r>
              <w:t>requirements of the examination</w:t>
            </w:r>
            <w:r w:rsidRPr="00AC213F">
              <w:t xml:space="preserve"> system, it is necessary that the pupils not only do not learn scientific method but learn precisely the reverse, that i</w:t>
            </w:r>
            <w:r>
              <w:t xml:space="preserve">s, </w:t>
            </w:r>
            <w:r w:rsidRPr="00AC213F">
              <w:t>to believe exactly what they are told and to reproduce it when asked, whether it seems no</w:t>
            </w:r>
            <w:r>
              <w:t xml:space="preserve">nsense to them or not. The </w:t>
            </w:r>
            <w:r w:rsidRPr="00AC213F">
              <w:t xml:space="preserve">way in which educated people respond to such quackeries as spiritualism or astrology, not to say more dangerous </w:t>
            </w:r>
            <w:r>
              <w:t xml:space="preserve">ones </w:t>
            </w:r>
            <w:r w:rsidRPr="00AC213F">
              <w:t>such as racial theories or currency myths, shows that fifty years of education in the me</w:t>
            </w:r>
            <w:r>
              <w:t xml:space="preserve">thod of science in Britain </w:t>
            </w:r>
            <w:r w:rsidRPr="00AC213F">
              <w:t xml:space="preserve">or Germany has produced no visible effect whatever. </w:t>
            </w:r>
          </w:p>
          <w:p w:rsidR="006F6EF5" w:rsidRPr="006F6EF5" w:rsidRDefault="006F6EF5" w:rsidP="006F6EF5">
            <w:pPr>
              <w:spacing w:line="312" w:lineRule="auto"/>
              <w:rPr>
                <w:sz w:val="16"/>
                <w:szCs w:val="16"/>
              </w:rPr>
            </w:pPr>
          </w:p>
          <w:p w:rsidR="006F6EF5" w:rsidRPr="00AC213F" w:rsidRDefault="006F6EF5" w:rsidP="006F6EF5">
            <w:pPr>
              <w:spacing w:line="312" w:lineRule="auto"/>
            </w:pPr>
            <w:r w:rsidRPr="00AC213F">
              <w:t>The only way of learning the method o</w:t>
            </w:r>
            <w:r>
              <w:t xml:space="preserve">f science is the long and </w:t>
            </w:r>
            <w:r w:rsidRPr="00AC213F">
              <w:t xml:space="preserve">bitter way of personal experience, and, until the educational or social systems are </w:t>
            </w:r>
            <w:r>
              <w:t>able</w:t>
            </w:r>
            <w:r w:rsidRPr="00AC213F">
              <w:t xml:space="preserve"> to make </w:t>
            </w:r>
            <w:r>
              <w:t xml:space="preserve">this possible, the best we </w:t>
            </w:r>
            <w:r w:rsidRPr="00AC213F">
              <w:t xml:space="preserve">can expect is the production of </w:t>
            </w:r>
            <w:proofErr w:type="gramStart"/>
            <w:r w:rsidRPr="00AC213F">
              <w:t>a  minority</w:t>
            </w:r>
            <w:proofErr w:type="gramEnd"/>
            <w:r w:rsidRPr="00AC213F">
              <w:t xml:space="preserve"> of people who are able to acquire some of the t</w:t>
            </w:r>
            <w:r>
              <w:t xml:space="preserve">echniques of science and a </w:t>
            </w:r>
            <w:r w:rsidRPr="00AC213F">
              <w:t>still smaller minority who are able to use and develop them.</w:t>
            </w:r>
          </w:p>
          <w:p w:rsidR="00673BC1" w:rsidRPr="006F6EF5" w:rsidRDefault="009E5D4C" w:rsidP="006F6EF5">
            <w:pPr>
              <w:spacing w:line="312" w:lineRule="auto"/>
            </w:pPr>
            <w:r>
              <w:t xml:space="preserve">        </w:t>
            </w:r>
          </w:p>
        </w:tc>
        <w:tc>
          <w:tcPr>
            <w:tcW w:w="702" w:type="dxa"/>
          </w:tcPr>
          <w:p w:rsidR="00673BC1" w:rsidRPr="004276D3" w:rsidRDefault="006F6EF5" w:rsidP="006F6EF5">
            <w:pPr>
              <w:tabs>
                <w:tab w:val="left" w:pos="3533"/>
              </w:tabs>
              <w:spacing w:before="120"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16</w:t>
            </w: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27</w:t>
            </w: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45</w:t>
            </w: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61</w:t>
            </w: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77</w:t>
            </w: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95</w:t>
            </w: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96</w:t>
            </w:r>
          </w:p>
          <w:p w:rsidR="004276D3" w:rsidRPr="004276D3" w:rsidRDefault="004276D3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  <w:sz w:val="16"/>
                <w:szCs w:val="16"/>
              </w:rPr>
            </w:pP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116</w:t>
            </w:r>
          </w:p>
          <w:p w:rsidR="004276D3" w:rsidRDefault="006F6EF5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135</w:t>
            </w:r>
          </w:p>
          <w:p w:rsidR="00D31A91" w:rsidRDefault="009E5D4C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151</w:t>
            </w:r>
          </w:p>
          <w:p w:rsidR="00D31A91" w:rsidRPr="00D31A91" w:rsidRDefault="009E5D4C" w:rsidP="004276D3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171</w:t>
            </w:r>
          </w:p>
          <w:p w:rsidR="00D31A91" w:rsidRDefault="009E5D4C" w:rsidP="009E5D4C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186</w:t>
            </w:r>
          </w:p>
          <w:p w:rsidR="009E5D4C" w:rsidRPr="009E5D4C" w:rsidRDefault="009E5D4C" w:rsidP="009E5D4C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203</w:t>
            </w:r>
          </w:p>
          <w:p w:rsidR="006F6EF5" w:rsidRPr="00D16976" w:rsidRDefault="009E5D4C" w:rsidP="006F6EF5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222</w:t>
            </w:r>
          </w:p>
          <w:p w:rsidR="00D31A91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228</w:t>
            </w:r>
          </w:p>
          <w:p w:rsidR="009E5D4C" w:rsidRP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  <w:sz w:val="16"/>
                <w:szCs w:val="16"/>
              </w:rPr>
            </w:pP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246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264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282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301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318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337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344</w:t>
            </w:r>
          </w:p>
          <w:p w:rsidR="009E5D4C" w:rsidRP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  <w:sz w:val="16"/>
                <w:szCs w:val="16"/>
              </w:rPr>
            </w:pP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363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382</w:t>
            </w:r>
          </w:p>
          <w:p w:rsidR="009E5D4C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402</w:t>
            </w:r>
          </w:p>
          <w:p w:rsidR="009E5D4C" w:rsidRPr="00D16976" w:rsidRDefault="009E5D4C" w:rsidP="00D16976">
            <w:pPr>
              <w:tabs>
                <w:tab w:val="left" w:pos="3533"/>
              </w:tabs>
              <w:spacing w:line="312" w:lineRule="auto"/>
              <w:jc w:val="center"/>
              <w:rPr>
                <w:rFonts w:cs="Agenda-Bold"/>
                <w:bCs/>
                <w:color w:val="000000"/>
              </w:rPr>
            </w:pPr>
            <w:r>
              <w:rPr>
                <w:rFonts w:cs="Agenda-Bold"/>
                <w:bCs/>
                <w:color w:val="000000"/>
              </w:rPr>
              <w:t>412</w:t>
            </w:r>
          </w:p>
        </w:tc>
      </w:tr>
      <w:tr w:rsidR="00673BC1" w:rsidTr="00673BC1">
        <w:tc>
          <w:tcPr>
            <w:tcW w:w="9738" w:type="dxa"/>
          </w:tcPr>
          <w:p w:rsidR="00356DC5" w:rsidRPr="00C36FC5" w:rsidRDefault="006F6EF5" w:rsidP="00C36FC5">
            <w:r w:rsidRPr="00E00FFB">
              <w:t xml:space="preserve">Adapted from: </w:t>
            </w:r>
            <w:r w:rsidRPr="00E00FFB">
              <w:rPr>
                <w:i/>
                <w:iCs/>
              </w:rPr>
              <w:t>The Social Function of Science</w:t>
            </w:r>
            <w:r w:rsidRPr="00E00FFB">
              <w:t>, John D Bernal (1939)</w:t>
            </w:r>
          </w:p>
          <w:p w:rsidR="00E00FFB" w:rsidRDefault="00E00FFB" w:rsidP="00356DC5">
            <w:pPr>
              <w:tabs>
                <w:tab w:val="left" w:pos="3533"/>
              </w:tabs>
              <w:rPr>
                <w:rFonts w:cs="Agenda-Bold"/>
                <w:bCs/>
                <w:color w:val="000000"/>
              </w:rPr>
            </w:pPr>
            <w:r w:rsidRPr="00E00FFB">
              <w:rPr>
                <w:rFonts w:cs="Agenda-Bold"/>
                <w:bCs/>
                <w:color w:val="000000"/>
              </w:rPr>
              <w:t>A</w:t>
            </w:r>
            <w:r w:rsidR="00C36FC5">
              <w:rPr>
                <w:rFonts w:cs="Agenda-Bold"/>
                <w:bCs/>
                <w:color w:val="000000"/>
              </w:rPr>
              <w:t xml:space="preserve">dapted for an SAT Practice Reading Comprehension Test </w:t>
            </w:r>
          </w:p>
          <w:p w:rsidR="00C36FC5" w:rsidRDefault="00276862" w:rsidP="00C36FC5">
            <w:hyperlink r:id="rId5" w:history="1">
              <w:r w:rsidR="00C36FC5" w:rsidRPr="00C65C4E">
                <w:rPr>
                  <w:rStyle w:val="Hyperlink"/>
                </w:rPr>
                <w:t>http://www.majortests.com/sat/reading-comprehension-test01</w:t>
              </w:r>
            </w:hyperlink>
          </w:p>
          <w:p w:rsidR="00C36FC5" w:rsidRPr="00E00FFB" w:rsidRDefault="00C36FC5" w:rsidP="00356DC5">
            <w:pPr>
              <w:tabs>
                <w:tab w:val="left" w:pos="3533"/>
              </w:tabs>
              <w:rPr>
                <w:rFonts w:cs="Agenda-Bold"/>
                <w:bCs/>
                <w:i/>
                <w:color w:val="000000"/>
              </w:rPr>
            </w:pPr>
          </w:p>
        </w:tc>
        <w:tc>
          <w:tcPr>
            <w:tcW w:w="702" w:type="dxa"/>
          </w:tcPr>
          <w:p w:rsidR="00673BC1" w:rsidRDefault="00673BC1" w:rsidP="00673BC1">
            <w:pPr>
              <w:tabs>
                <w:tab w:val="left" w:pos="3533"/>
              </w:tabs>
              <w:rPr>
                <w:rFonts w:ascii="Agenda-Bold" w:hAnsi="Agenda-Bold" w:cs="Agenda-Bold"/>
                <w:b/>
                <w:bCs/>
                <w:color w:val="000000"/>
              </w:rPr>
            </w:pPr>
          </w:p>
        </w:tc>
      </w:tr>
      <w:tr w:rsidR="004276D3" w:rsidTr="00673BC1">
        <w:tc>
          <w:tcPr>
            <w:tcW w:w="9738" w:type="dxa"/>
          </w:tcPr>
          <w:p w:rsidR="00E00FFB" w:rsidRPr="00C36FC5" w:rsidRDefault="00C36FC5" w:rsidP="004276D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Agenda-Bold"/>
                <w:b/>
                <w:bCs/>
                <w:color w:val="C00000"/>
              </w:rPr>
              <w:t>Related</w:t>
            </w:r>
            <w:r w:rsidR="006F6EF5" w:rsidRPr="00E00FFB">
              <w:rPr>
                <w:rFonts w:cs="Agenda-Bold"/>
                <w:b/>
                <w:bCs/>
                <w:color w:val="C00000"/>
              </w:rPr>
              <w:t xml:space="preserve"> Article</w:t>
            </w:r>
            <w:r>
              <w:rPr>
                <w:rFonts w:cs="Agenda-Bold"/>
                <w:b/>
                <w:bCs/>
                <w:color w:val="C00000"/>
              </w:rPr>
              <w:t xml:space="preserve"> </w:t>
            </w:r>
            <w:r>
              <w:rPr>
                <w:rFonts w:cs="Times New Roman"/>
              </w:rPr>
              <w:t>“The Social Function of the Scientist”</w:t>
            </w:r>
          </w:p>
          <w:p w:rsidR="00E00FFB" w:rsidRDefault="00E00FFB" w:rsidP="004276D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E00FFB">
              <w:rPr>
                <w:rFonts w:cs="Times New Roman"/>
              </w:rPr>
              <w:t>Herausgegeben</w:t>
            </w:r>
            <w:proofErr w:type="spellEnd"/>
            <w:r w:rsidRPr="00E00FFB">
              <w:rPr>
                <w:rFonts w:cs="Times New Roman"/>
              </w:rPr>
              <w:t xml:space="preserve"> von Helmut Steiner’s Response to Bernal’s article</w:t>
            </w:r>
          </w:p>
          <w:p w:rsidR="006F6EF5" w:rsidRPr="00C36FC5" w:rsidRDefault="00C36FC5" w:rsidP="004276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00FFB">
              <w:rPr>
                <w:rFonts w:cs="Times New Roman"/>
                <w:b/>
                <w:bCs/>
              </w:rPr>
              <w:t xml:space="preserve"> </w:t>
            </w:r>
            <w:r w:rsidR="00E00FFB" w:rsidRPr="00E00FFB">
              <w:rPr>
                <w:rFonts w:cs="Times New Roman"/>
                <w:b/>
                <w:bCs/>
              </w:rPr>
              <w:t>“1939 J. D. Bernal’s The Social Function of Science 1989”</w:t>
            </w:r>
          </w:p>
          <w:p w:rsidR="00356DC5" w:rsidRPr="00E00FFB" w:rsidRDefault="00356DC5" w:rsidP="00356DC5">
            <w:pPr>
              <w:tabs>
                <w:tab w:val="left" w:pos="3533"/>
              </w:tabs>
              <w:rPr>
                <w:rFonts w:cs="Agenda-Bold"/>
                <w:bCs/>
                <w:color w:val="000000"/>
              </w:rPr>
            </w:pPr>
            <w:r w:rsidRPr="00E00FFB">
              <w:rPr>
                <w:rFonts w:cs="Agenda-Bold"/>
                <w:bCs/>
                <w:color w:val="000000"/>
              </w:rPr>
              <w:t xml:space="preserve">retrieved from </w:t>
            </w:r>
            <w:hyperlink r:id="rId6" w:history="1">
              <w:r w:rsidRPr="00E00FFB">
                <w:rPr>
                  <w:rStyle w:val="Hyperlink"/>
                  <w:rFonts w:cs="Agenda-Bold"/>
                  <w:bCs/>
                  <w:i/>
                </w:rPr>
                <w:t>http://profiles.nlm.nih.gov/BB/A/B/O/G/_/bbabog.pdf</w:t>
              </w:r>
            </w:hyperlink>
            <w:r w:rsidRPr="00E00FFB">
              <w:rPr>
                <w:rFonts w:cs="Agenda-Bold"/>
                <w:bCs/>
                <w:i/>
                <w:color w:val="000000"/>
              </w:rPr>
              <w:t xml:space="preserve">, </w:t>
            </w:r>
            <w:r>
              <w:rPr>
                <w:rFonts w:cs="Agenda-Bold"/>
                <w:bCs/>
                <w:color w:val="000000"/>
              </w:rPr>
              <w:t>1/</w:t>
            </w:r>
            <w:r w:rsidRPr="00E00FFB">
              <w:rPr>
                <w:rFonts w:cs="Agenda-Bold"/>
                <w:bCs/>
                <w:color w:val="000000"/>
              </w:rPr>
              <w:t>20/13</w:t>
            </w:r>
          </w:p>
          <w:p w:rsidR="00082D91" w:rsidRPr="00E00FFB" w:rsidRDefault="00082D91" w:rsidP="00C36FC5">
            <w:pPr>
              <w:autoSpaceDE w:val="0"/>
              <w:autoSpaceDN w:val="0"/>
              <w:adjustRightInd w:val="0"/>
              <w:rPr>
                <w:rFonts w:cs="GranjonLTStd-Italic"/>
                <w:i/>
                <w:iCs/>
                <w:color w:val="000000"/>
              </w:rPr>
            </w:pPr>
          </w:p>
        </w:tc>
        <w:tc>
          <w:tcPr>
            <w:tcW w:w="702" w:type="dxa"/>
          </w:tcPr>
          <w:p w:rsidR="004276D3" w:rsidRDefault="004276D3" w:rsidP="00673BC1">
            <w:pPr>
              <w:tabs>
                <w:tab w:val="left" w:pos="3533"/>
              </w:tabs>
              <w:rPr>
                <w:rFonts w:ascii="Agenda-Bold" w:hAnsi="Agenda-Bold" w:cs="Agenda-Bold"/>
                <w:b/>
                <w:bCs/>
                <w:color w:val="000000"/>
              </w:rPr>
            </w:pPr>
          </w:p>
        </w:tc>
      </w:tr>
    </w:tbl>
    <w:p w:rsidR="00F05A17" w:rsidRPr="00F05A17" w:rsidRDefault="00F05A17" w:rsidP="00673BC1">
      <w:pPr>
        <w:tabs>
          <w:tab w:val="left" w:pos="3533"/>
        </w:tabs>
        <w:rPr>
          <w:rFonts w:ascii="Agenda-Bold" w:hAnsi="Agenda-Bold" w:cs="Agenda-Bold"/>
          <w:bCs/>
          <w:color w:val="000000"/>
          <w:sz w:val="4"/>
          <w:szCs w:val="4"/>
        </w:rPr>
      </w:pPr>
    </w:p>
    <w:p w:rsidR="00BC7878" w:rsidRPr="00C36FC5" w:rsidRDefault="00C36FC5" w:rsidP="00673BC1">
      <w:pPr>
        <w:tabs>
          <w:tab w:val="left" w:pos="3533"/>
        </w:tabs>
        <w:rPr>
          <w:rFonts w:ascii="Agenda-Bold" w:hAnsi="Agenda-Bold" w:cs="Agenda-Bold"/>
          <w:bCs/>
          <w:color w:val="000000"/>
          <w:sz w:val="20"/>
          <w:szCs w:val="20"/>
        </w:rPr>
      </w:pPr>
      <w:r w:rsidRPr="00C36FC5">
        <w:rPr>
          <w:rFonts w:ascii="Agenda-Bold" w:hAnsi="Agenda-Bold" w:cs="Agenda-Bold"/>
          <w:bCs/>
          <w:color w:val="000000"/>
          <w:sz w:val="20"/>
          <w:szCs w:val="20"/>
        </w:rPr>
        <w:t xml:space="preserve">Literature in Action – Fluency – Module 5 </w:t>
      </w:r>
    </w:p>
    <w:sectPr w:rsidR="00BC7878" w:rsidRPr="00C36FC5" w:rsidSect="0060377E">
      <w:pgSz w:w="12240" w:h="15840"/>
      <w:pgMar w:top="90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enLeag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njonLTStd-Italic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28"/>
    <w:rsid w:val="00082D91"/>
    <w:rsid w:val="000B6422"/>
    <w:rsid w:val="000E218D"/>
    <w:rsid w:val="000E3AF0"/>
    <w:rsid w:val="001D2E28"/>
    <w:rsid w:val="00276862"/>
    <w:rsid w:val="00356DC5"/>
    <w:rsid w:val="004276D3"/>
    <w:rsid w:val="005673A3"/>
    <w:rsid w:val="0060377E"/>
    <w:rsid w:val="00673BC1"/>
    <w:rsid w:val="006F6EF5"/>
    <w:rsid w:val="007915EA"/>
    <w:rsid w:val="007E3563"/>
    <w:rsid w:val="008612FD"/>
    <w:rsid w:val="009E5D4C"/>
    <w:rsid w:val="00B46AB5"/>
    <w:rsid w:val="00BC7878"/>
    <w:rsid w:val="00C36FC5"/>
    <w:rsid w:val="00D16976"/>
    <w:rsid w:val="00D31A91"/>
    <w:rsid w:val="00E00FFB"/>
    <w:rsid w:val="00EC0FE6"/>
    <w:rsid w:val="00F05A17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itle">
    <w:name w:val="maintitle"/>
    <w:basedOn w:val="DefaultParagraphFont"/>
    <w:rsid w:val="00082D91"/>
  </w:style>
  <w:style w:type="character" w:customStyle="1" w:styleId="Subtitle1">
    <w:name w:val="Subtitle1"/>
    <w:basedOn w:val="DefaultParagraphFont"/>
    <w:rsid w:val="00082D91"/>
  </w:style>
  <w:style w:type="character" w:styleId="Emphasis">
    <w:name w:val="Emphasis"/>
    <w:basedOn w:val="DefaultParagraphFont"/>
    <w:uiPriority w:val="20"/>
    <w:qFormat/>
    <w:rsid w:val="00C36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itle">
    <w:name w:val="maintitle"/>
    <w:basedOn w:val="DefaultParagraphFont"/>
    <w:rsid w:val="00082D91"/>
  </w:style>
  <w:style w:type="character" w:customStyle="1" w:styleId="Subtitle1">
    <w:name w:val="Subtitle1"/>
    <w:basedOn w:val="DefaultParagraphFont"/>
    <w:rsid w:val="00082D91"/>
  </w:style>
  <w:style w:type="character" w:styleId="Emphasis">
    <w:name w:val="Emphasis"/>
    <w:basedOn w:val="DefaultParagraphFont"/>
    <w:uiPriority w:val="20"/>
    <w:qFormat/>
    <w:rsid w:val="00C36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iles.nlm.nih.gov/BB/A/B/O/G/_/bbabog.pdf" TargetMode="External"/><Relationship Id="rId5" Type="http://schemas.openxmlformats.org/officeDocument/2006/relationships/hyperlink" Target="http://www.majortests.com/sat/reading-comprehension-test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SCodere 611</dc:creator>
  <cp:lastModifiedBy>SCodere 611</cp:lastModifiedBy>
  <cp:revision>2</cp:revision>
  <cp:lastPrinted>2013-01-21T01:49:00Z</cp:lastPrinted>
  <dcterms:created xsi:type="dcterms:W3CDTF">2013-01-23T02:30:00Z</dcterms:created>
  <dcterms:modified xsi:type="dcterms:W3CDTF">2013-01-23T02:30:00Z</dcterms:modified>
</cp:coreProperties>
</file>