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EAAF" w14:textId="77777777" w:rsidR="00F8539C" w:rsidRDefault="00F8539C" w:rsidP="00F8539C">
      <w:pPr>
        <w:jc w:val="center"/>
        <w:rPr>
          <w:b/>
        </w:rPr>
      </w:pPr>
      <w:r>
        <w:rPr>
          <w:b/>
        </w:rPr>
        <w:t>The Next Chapter</w:t>
      </w:r>
    </w:p>
    <w:p w14:paraId="20A20C59" w14:textId="77777777" w:rsidR="00F8539C" w:rsidRDefault="00F8539C" w:rsidP="00F8539C">
      <w:pPr>
        <w:jc w:val="center"/>
        <w:rPr>
          <w:b/>
        </w:rPr>
      </w:pPr>
      <w:r>
        <w:rPr>
          <w:b/>
        </w:rPr>
        <w:t xml:space="preserve">Session 4:  CONSIDER THIS - </w:t>
      </w:r>
    </w:p>
    <w:p w14:paraId="03C084D5" w14:textId="77777777" w:rsidR="00F8539C" w:rsidRDefault="00F8539C" w:rsidP="00F8539C">
      <w:pPr>
        <w:jc w:val="center"/>
        <w:rPr>
          <w:b/>
        </w:rPr>
      </w:pPr>
      <w:r>
        <w:rPr>
          <w:b/>
        </w:rPr>
        <w:t>Best Practice to Inform Our Planning</w:t>
      </w:r>
    </w:p>
    <w:p w14:paraId="0BB49255" w14:textId="77777777" w:rsidR="00F8539C" w:rsidRDefault="00F8539C" w:rsidP="00F8539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70"/>
        <w:gridCol w:w="2538"/>
      </w:tblGrid>
      <w:tr w:rsidR="00F8539C" w14:paraId="78506CE8" w14:textId="77777777" w:rsidTr="005E2AAA">
        <w:tc>
          <w:tcPr>
            <w:tcW w:w="1548" w:type="dxa"/>
          </w:tcPr>
          <w:p w14:paraId="295E8E23" w14:textId="77777777" w:rsidR="00F8539C" w:rsidRPr="00C56AFF" w:rsidRDefault="00F8539C" w:rsidP="005E2A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time</w:t>
            </w:r>
            <w:proofErr w:type="gramEnd"/>
          </w:p>
        </w:tc>
        <w:tc>
          <w:tcPr>
            <w:tcW w:w="4770" w:type="dxa"/>
          </w:tcPr>
          <w:p w14:paraId="2B7FA497" w14:textId="77777777" w:rsidR="00F8539C" w:rsidRPr="00C56AFF" w:rsidRDefault="00F8539C" w:rsidP="005E2A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activity</w:t>
            </w:r>
            <w:proofErr w:type="gramEnd"/>
          </w:p>
        </w:tc>
        <w:tc>
          <w:tcPr>
            <w:tcW w:w="2538" w:type="dxa"/>
          </w:tcPr>
          <w:p w14:paraId="5ADA0075" w14:textId="77777777" w:rsidR="00F8539C" w:rsidRPr="00C56AFF" w:rsidRDefault="00F8539C" w:rsidP="005E2A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notes</w:t>
            </w:r>
            <w:proofErr w:type="gramEnd"/>
          </w:p>
        </w:tc>
      </w:tr>
      <w:tr w:rsidR="00F8539C" w14:paraId="440AAF2E" w14:textId="77777777" w:rsidTr="005E2AAA">
        <w:tc>
          <w:tcPr>
            <w:tcW w:w="1548" w:type="dxa"/>
          </w:tcPr>
          <w:p w14:paraId="406EE968" w14:textId="38466E14" w:rsidR="004B549F" w:rsidRDefault="004B549F" w:rsidP="005E2AAA">
            <w:r>
              <w:t>15 minutes</w:t>
            </w:r>
          </w:p>
        </w:tc>
        <w:tc>
          <w:tcPr>
            <w:tcW w:w="4770" w:type="dxa"/>
          </w:tcPr>
          <w:p w14:paraId="79FD0E9F" w14:textId="77777777" w:rsidR="00F8539C" w:rsidRDefault="00F8539C" w:rsidP="005E2AAA">
            <w:r>
              <w:t xml:space="preserve">Welcome  </w:t>
            </w:r>
            <w:r w:rsidRPr="00653B0C">
              <w:rPr>
                <w:color w:val="0000FF"/>
              </w:rPr>
              <w:t>(Slide 1)</w:t>
            </w:r>
          </w:p>
          <w:p w14:paraId="7C26F3C7" w14:textId="77777777" w:rsidR="00F8539C" w:rsidRDefault="00F8539C" w:rsidP="005E2AAA">
            <w:r>
              <w:t xml:space="preserve">Review of where we’ve been so far </w:t>
            </w:r>
            <w:r w:rsidRPr="00F8539C">
              <w:rPr>
                <w:color w:val="0000FF"/>
              </w:rPr>
              <w:t>(Slide 2)</w:t>
            </w:r>
          </w:p>
          <w:p w14:paraId="2F7BB06C" w14:textId="77777777" w:rsidR="006D2F01" w:rsidRPr="00B001AD" w:rsidRDefault="006D2F01" w:rsidP="006D2F01">
            <w:pPr>
              <w:rPr>
                <w:color w:val="0000FF"/>
              </w:rPr>
            </w:pPr>
            <w:r>
              <w:t>Let’s consider the “list” of skills needed to teach reading.</w:t>
            </w:r>
          </w:p>
          <w:p w14:paraId="0E961A4D" w14:textId="2DD995BF" w:rsidR="006D2F01" w:rsidRDefault="006D2F01" w:rsidP="00E534E5">
            <w:pPr>
              <w:rPr>
                <w:color w:val="FF0000"/>
              </w:rPr>
            </w:pPr>
            <w:r w:rsidRPr="00107D69">
              <w:rPr>
                <w:color w:val="FF0000"/>
              </w:rPr>
              <w:t xml:space="preserve">HANDOUT – Knowledge and Skills for Teaching Reading </w:t>
            </w:r>
          </w:p>
          <w:p w14:paraId="48113C41" w14:textId="77777777" w:rsidR="006D2F01" w:rsidRDefault="006D2F01" w:rsidP="00E534E5">
            <w:r>
              <w:t xml:space="preserve">Have participants read (scan) the article to </w:t>
            </w:r>
            <w:proofErr w:type="gramStart"/>
            <w:r>
              <w:t>themselves</w:t>
            </w:r>
            <w:proofErr w:type="gramEnd"/>
            <w:r>
              <w:t xml:space="preserve"> then do a 3-minute Quick Write.</w:t>
            </w:r>
          </w:p>
          <w:p w14:paraId="58415C8F" w14:textId="3DD63903" w:rsidR="006D2F01" w:rsidRPr="006D2F01" w:rsidRDefault="006D2F01" w:rsidP="00E534E5">
            <w:r>
              <w:t>Next, turn and talk at your table:  What does this have to do with TNC?</w:t>
            </w:r>
          </w:p>
          <w:p w14:paraId="5B748A4D" w14:textId="26342DB5" w:rsidR="00F8539C" w:rsidRDefault="00F8539C" w:rsidP="00E534E5">
            <w:r>
              <w:t xml:space="preserve">Goals for Session 4  </w:t>
            </w:r>
            <w:r w:rsidRPr="00F8539C">
              <w:rPr>
                <w:color w:val="0000FF"/>
              </w:rPr>
              <w:t>(Slide 3)</w:t>
            </w:r>
            <w:r w:rsidR="00B001AD">
              <w:rPr>
                <w:color w:val="0000FF"/>
              </w:rPr>
              <w:t xml:space="preserve"> </w:t>
            </w:r>
          </w:p>
        </w:tc>
        <w:tc>
          <w:tcPr>
            <w:tcW w:w="2538" w:type="dxa"/>
          </w:tcPr>
          <w:p w14:paraId="20EA83B7" w14:textId="77777777" w:rsidR="00F8539C" w:rsidRDefault="00F8539C" w:rsidP="005E2AAA">
            <w:r>
              <w:t>Have participants seat by grade (table tents)</w:t>
            </w:r>
          </w:p>
          <w:p w14:paraId="5FCBD1DB" w14:textId="77777777" w:rsidR="00F8539C" w:rsidRDefault="00F8539C" w:rsidP="005E2AAA"/>
          <w:p w14:paraId="293E9840" w14:textId="77777777" w:rsidR="00F8539C" w:rsidRDefault="00F8539C" w:rsidP="005E2AAA"/>
          <w:p w14:paraId="616392FC" w14:textId="00F9B688" w:rsidR="00F8539C" w:rsidRPr="007D2A38" w:rsidRDefault="00F8539C" w:rsidP="005E2AAA">
            <w:pPr>
              <w:rPr>
                <w:b/>
                <w:color w:val="008000"/>
              </w:rPr>
            </w:pPr>
          </w:p>
        </w:tc>
      </w:tr>
      <w:tr w:rsidR="00F8539C" w14:paraId="53BDC0D9" w14:textId="77777777" w:rsidTr="005E2AAA">
        <w:tc>
          <w:tcPr>
            <w:tcW w:w="1548" w:type="dxa"/>
          </w:tcPr>
          <w:p w14:paraId="68EF452F" w14:textId="4255A81F" w:rsidR="004B549F" w:rsidRDefault="004B549F" w:rsidP="00F8539C">
            <w:r>
              <w:t>20 minutes</w:t>
            </w:r>
          </w:p>
        </w:tc>
        <w:tc>
          <w:tcPr>
            <w:tcW w:w="4770" w:type="dxa"/>
          </w:tcPr>
          <w:p w14:paraId="79059AF9" w14:textId="39FEE739" w:rsidR="006D2F01" w:rsidRDefault="006D2F01" w:rsidP="005E2AAA">
            <w:r>
              <w:t xml:space="preserve">Read aloud:  </w:t>
            </w:r>
            <w:r w:rsidRPr="006D2F01">
              <w:rPr>
                <w:i/>
              </w:rPr>
              <w:t>The Day the Crayons Quit</w:t>
            </w:r>
            <w:r>
              <w:t xml:space="preserve"> by Drew </w:t>
            </w:r>
            <w:proofErr w:type="spellStart"/>
            <w:r>
              <w:t>Daywalt</w:t>
            </w:r>
            <w:proofErr w:type="spellEnd"/>
          </w:p>
          <w:p w14:paraId="3E3E153C" w14:textId="77777777" w:rsidR="005E2AAA" w:rsidRDefault="00F8539C" w:rsidP="005E2AAA">
            <w:r>
              <w:t xml:space="preserve">Your Turn:  time to discuss the assignment from session 3.  Times are on the slide. </w:t>
            </w:r>
          </w:p>
          <w:p w14:paraId="6EC16D9E" w14:textId="77777777" w:rsidR="005E2AAA" w:rsidRDefault="005E2AAA" w:rsidP="005E2AAA">
            <w:r>
              <w:t>What evidence do you have of your students’ NEW understanding?</w:t>
            </w:r>
          </w:p>
          <w:p w14:paraId="0D9749E7" w14:textId="77777777" w:rsidR="00F8539C" w:rsidRPr="005E2AAA" w:rsidRDefault="005E2AAA" w:rsidP="005E2AAA">
            <w:r>
              <w:t>What was hard?  What was successful?</w:t>
            </w:r>
            <w:r w:rsidR="00F8539C">
              <w:t xml:space="preserve"> Finish up with 5 minutes for general comments.  </w:t>
            </w:r>
            <w:r w:rsidR="00F8539C" w:rsidRPr="00F8539C">
              <w:rPr>
                <w:color w:val="0000FF"/>
              </w:rPr>
              <w:t>(Slide 4)</w:t>
            </w:r>
          </w:p>
        </w:tc>
        <w:tc>
          <w:tcPr>
            <w:tcW w:w="2538" w:type="dxa"/>
          </w:tcPr>
          <w:p w14:paraId="7FFACE00" w14:textId="06DC3AE7" w:rsidR="00F8539C" w:rsidRPr="003954A3" w:rsidRDefault="00F8539C" w:rsidP="005E2AAA">
            <w:pPr>
              <w:rPr>
                <w:b/>
                <w:color w:val="008000"/>
              </w:rPr>
            </w:pPr>
          </w:p>
        </w:tc>
      </w:tr>
      <w:tr w:rsidR="00F8539C" w14:paraId="4587F765" w14:textId="77777777" w:rsidTr="005E2AAA">
        <w:tc>
          <w:tcPr>
            <w:tcW w:w="1548" w:type="dxa"/>
          </w:tcPr>
          <w:p w14:paraId="319C1F92" w14:textId="78ED5AC1" w:rsidR="000D718E" w:rsidRDefault="000D718E" w:rsidP="00F8539C">
            <w:r>
              <w:t>25 minutes</w:t>
            </w:r>
          </w:p>
        </w:tc>
        <w:tc>
          <w:tcPr>
            <w:tcW w:w="4770" w:type="dxa"/>
          </w:tcPr>
          <w:p w14:paraId="6AA7207C" w14:textId="14FEBAAB" w:rsidR="00B001AD" w:rsidRDefault="00B001AD" w:rsidP="005E2AAA">
            <w:r>
              <w:t xml:space="preserve">Let’s turn our attention to some foundational best practices </w:t>
            </w:r>
          </w:p>
          <w:p w14:paraId="744F4556" w14:textId="08508D89" w:rsidR="00107D69" w:rsidRPr="00107D69" w:rsidRDefault="00107D69" w:rsidP="005E2AAA">
            <w:r w:rsidRPr="00107D69">
              <w:t>Now we want to think about some underlying “best practices” as we plan</w:t>
            </w:r>
          </w:p>
          <w:p w14:paraId="0B4BF39D" w14:textId="7BCD7811" w:rsidR="00107D69" w:rsidRPr="00107D69" w:rsidRDefault="00107D69" w:rsidP="005E2AAA">
            <w:pPr>
              <w:rPr>
                <w:color w:val="FF0000"/>
              </w:rPr>
            </w:pPr>
            <w:r w:rsidRPr="00B001AD">
              <w:rPr>
                <w:color w:val="0000FF"/>
              </w:rPr>
              <w:t>(Slide 5)</w:t>
            </w:r>
          </w:p>
          <w:p w14:paraId="6F437CA0" w14:textId="343C8361" w:rsidR="00F8539C" w:rsidRDefault="005E2AAA" w:rsidP="005E2AAA">
            <w:r>
              <w:t>UDL</w:t>
            </w:r>
            <w:r w:rsidR="00B001AD">
              <w:t xml:space="preserve">  </w:t>
            </w:r>
            <w:r w:rsidR="00B001AD" w:rsidRPr="00B001AD">
              <w:rPr>
                <w:color w:val="0000FF"/>
              </w:rPr>
              <w:t>(Slides 6 – 15</w:t>
            </w:r>
            <w:proofErr w:type="gramStart"/>
            <w:r w:rsidR="00B001AD" w:rsidRPr="00B001AD">
              <w:rPr>
                <w:color w:val="0000FF"/>
              </w:rPr>
              <w:t>)</w:t>
            </w:r>
            <w:r w:rsidR="00B001AD">
              <w:t xml:space="preserve">  Turn</w:t>
            </w:r>
            <w:proofErr w:type="gramEnd"/>
            <w:r w:rsidR="00B001AD">
              <w:t xml:space="preserve"> and Talk</w:t>
            </w:r>
          </w:p>
          <w:p w14:paraId="4D73FC9B" w14:textId="2B9D1601" w:rsidR="00833F7E" w:rsidRDefault="00833F7E" w:rsidP="005E2AAA">
            <w:r>
              <w:t xml:space="preserve">Rescue </w:t>
            </w:r>
            <w:proofErr w:type="spellStart"/>
            <w:r>
              <w:t>vs</w:t>
            </w:r>
            <w:proofErr w:type="spellEnd"/>
            <w:r>
              <w:t xml:space="preserve"> Scaffolding</w:t>
            </w:r>
            <w:r w:rsidR="00B001AD">
              <w:t xml:space="preserve">  </w:t>
            </w:r>
            <w:r w:rsidR="00B001AD" w:rsidRPr="00B001AD">
              <w:rPr>
                <w:color w:val="0000FF"/>
              </w:rPr>
              <w:t>(Slides 16 – 19</w:t>
            </w:r>
            <w:proofErr w:type="gramStart"/>
            <w:r w:rsidR="00B001AD" w:rsidRPr="00B001AD">
              <w:rPr>
                <w:color w:val="0000FF"/>
              </w:rPr>
              <w:t>)</w:t>
            </w:r>
            <w:r w:rsidR="00B001AD">
              <w:rPr>
                <w:color w:val="0000FF"/>
              </w:rPr>
              <w:t xml:space="preserve">  </w:t>
            </w:r>
            <w:r w:rsidR="00B001AD" w:rsidRPr="00B001AD">
              <w:rPr>
                <w:color w:val="FF0000"/>
              </w:rPr>
              <w:t>HANDOUT</w:t>
            </w:r>
            <w:proofErr w:type="gramEnd"/>
            <w:r w:rsidR="00B53997">
              <w:rPr>
                <w:color w:val="FF0000"/>
              </w:rPr>
              <w:t xml:space="preserve"> – When Working Hard is Hardly Working</w:t>
            </w:r>
          </w:p>
        </w:tc>
        <w:tc>
          <w:tcPr>
            <w:tcW w:w="2538" w:type="dxa"/>
          </w:tcPr>
          <w:p w14:paraId="75AE949B" w14:textId="34887B10" w:rsidR="00F8539C" w:rsidRDefault="00F8539C" w:rsidP="005E2AAA">
            <w:pPr>
              <w:rPr>
                <w:b/>
                <w:color w:val="008000"/>
              </w:rPr>
            </w:pPr>
          </w:p>
        </w:tc>
      </w:tr>
      <w:tr w:rsidR="005E2AAA" w14:paraId="66410470" w14:textId="77777777" w:rsidTr="005E2AAA">
        <w:tc>
          <w:tcPr>
            <w:tcW w:w="1548" w:type="dxa"/>
          </w:tcPr>
          <w:p w14:paraId="0C2AA58D" w14:textId="21B04645" w:rsidR="000D718E" w:rsidRDefault="000D718E" w:rsidP="00F8539C">
            <w:r>
              <w:t>40 minutes</w:t>
            </w:r>
          </w:p>
        </w:tc>
        <w:tc>
          <w:tcPr>
            <w:tcW w:w="4770" w:type="dxa"/>
          </w:tcPr>
          <w:p w14:paraId="5B1DCD1D" w14:textId="77777777" w:rsidR="005E2AAA" w:rsidRDefault="005E2AAA" w:rsidP="005E2AAA">
            <w:r>
              <w:t xml:space="preserve">Guided Highlighted Reading </w:t>
            </w:r>
            <w:proofErr w:type="spellStart"/>
            <w:r>
              <w:t>scaffolded</w:t>
            </w:r>
            <w:proofErr w:type="spellEnd"/>
            <w:r>
              <w:t>, as a form of Close &amp; Critical Reading</w:t>
            </w:r>
          </w:p>
          <w:p w14:paraId="6BF0C119" w14:textId="77777777" w:rsidR="00D36788" w:rsidRDefault="005E2AAA" w:rsidP="005E2AAA">
            <w:r>
              <w:t>Use “My Father’s Butterflies” from RAISE</w:t>
            </w:r>
            <w:r w:rsidR="00B001AD">
              <w:t xml:space="preserve">  </w:t>
            </w:r>
          </w:p>
          <w:p w14:paraId="6948370F" w14:textId="77777777" w:rsidR="00D36788" w:rsidRPr="00D36788" w:rsidRDefault="00D36788" w:rsidP="005E2AAA">
            <w:pPr>
              <w:rPr>
                <w:color w:val="0000FF"/>
              </w:rPr>
            </w:pPr>
            <w:r w:rsidRPr="00D36788">
              <w:rPr>
                <w:color w:val="0000FF"/>
              </w:rPr>
              <w:t>(Slide 20)</w:t>
            </w:r>
          </w:p>
          <w:p w14:paraId="2152C8E6" w14:textId="57CB7404" w:rsidR="005E2AAA" w:rsidRDefault="00B001AD" w:rsidP="005E2AAA">
            <w:r w:rsidRPr="00B001AD">
              <w:rPr>
                <w:color w:val="FF0000"/>
              </w:rPr>
              <w:t>HANDOUT</w:t>
            </w:r>
            <w:r w:rsidR="00B53997">
              <w:rPr>
                <w:color w:val="FF0000"/>
              </w:rPr>
              <w:t xml:space="preserve"> - text</w:t>
            </w:r>
          </w:p>
          <w:p w14:paraId="7FF1E097" w14:textId="35FB592B" w:rsidR="005E2AAA" w:rsidRDefault="005E2AAA" w:rsidP="00B53997">
            <w:r w:rsidRPr="00B001AD">
              <w:rPr>
                <w:color w:val="FF0000"/>
              </w:rPr>
              <w:t>HANDOUT</w:t>
            </w:r>
            <w:r>
              <w:t xml:space="preserve"> </w:t>
            </w:r>
            <w:r w:rsidRPr="00B001AD">
              <w:rPr>
                <w:color w:val="FF0000"/>
              </w:rPr>
              <w:t xml:space="preserve">– </w:t>
            </w:r>
            <w:r w:rsidR="00B53997">
              <w:rPr>
                <w:color w:val="FF0000"/>
              </w:rPr>
              <w:t>Close Reading Sequence charts &amp; GRR graphic</w:t>
            </w:r>
          </w:p>
        </w:tc>
        <w:tc>
          <w:tcPr>
            <w:tcW w:w="2538" w:type="dxa"/>
          </w:tcPr>
          <w:p w14:paraId="7D41F42B" w14:textId="44BF83A4" w:rsidR="005E2AAA" w:rsidRDefault="005E2AAA" w:rsidP="005E2AAA">
            <w:pPr>
              <w:rPr>
                <w:b/>
                <w:color w:val="008000"/>
              </w:rPr>
            </w:pPr>
          </w:p>
        </w:tc>
      </w:tr>
      <w:tr w:rsidR="005E2AAA" w14:paraId="38A8278E" w14:textId="77777777" w:rsidTr="005E2AAA">
        <w:tc>
          <w:tcPr>
            <w:tcW w:w="1548" w:type="dxa"/>
          </w:tcPr>
          <w:p w14:paraId="67542F67" w14:textId="2FB80DAC" w:rsidR="000D718E" w:rsidRDefault="000D718E" w:rsidP="00F8539C">
            <w:r>
              <w:t>15 minutes</w:t>
            </w:r>
          </w:p>
        </w:tc>
        <w:tc>
          <w:tcPr>
            <w:tcW w:w="4770" w:type="dxa"/>
          </w:tcPr>
          <w:p w14:paraId="23AB5FC8" w14:textId="77777777" w:rsidR="005E2AAA" w:rsidRDefault="005E2AAA" w:rsidP="005E2AAA">
            <w:r>
              <w:t>BREAK</w:t>
            </w:r>
          </w:p>
        </w:tc>
        <w:tc>
          <w:tcPr>
            <w:tcW w:w="2538" w:type="dxa"/>
          </w:tcPr>
          <w:p w14:paraId="00863B93" w14:textId="77777777" w:rsidR="005E2AAA" w:rsidRDefault="005E2AAA" w:rsidP="005E2AAA">
            <w:pPr>
              <w:rPr>
                <w:b/>
                <w:color w:val="008000"/>
              </w:rPr>
            </w:pPr>
          </w:p>
        </w:tc>
      </w:tr>
      <w:tr w:rsidR="005E2AAA" w14:paraId="72CB41C1" w14:textId="77777777" w:rsidTr="005E2AAA">
        <w:tc>
          <w:tcPr>
            <w:tcW w:w="1548" w:type="dxa"/>
          </w:tcPr>
          <w:p w14:paraId="2602526C" w14:textId="52421720" w:rsidR="000D718E" w:rsidRDefault="000D718E" w:rsidP="00F8539C">
            <w:r>
              <w:t>10 minutes</w:t>
            </w:r>
          </w:p>
        </w:tc>
        <w:tc>
          <w:tcPr>
            <w:tcW w:w="4770" w:type="dxa"/>
          </w:tcPr>
          <w:p w14:paraId="6F0186E1" w14:textId="3352AD21" w:rsidR="00E53397" w:rsidRDefault="00E53397" w:rsidP="005E2AAA">
            <w:r>
              <w:t>The big idea is COMPREHENSION</w:t>
            </w:r>
            <w:r w:rsidR="00D36788">
              <w:t xml:space="preserve"> </w:t>
            </w:r>
            <w:r w:rsidR="00D36788" w:rsidRPr="00D36788">
              <w:rPr>
                <w:color w:val="0000FF"/>
              </w:rPr>
              <w:t>(Slide 21)</w:t>
            </w:r>
          </w:p>
          <w:p w14:paraId="4220C463" w14:textId="1C194110" w:rsidR="005E2AAA" w:rsidRDefault="00E53397" w:rsidP="005E2AAA">
            <w:r>
              <w:t xml:space="preserve">We keep the </w:t>
            </w:r>
            <w:r w:rsidR="005E2AAA">
              <w:t>4 Questions</w:t>
            </w:r>
            <w:r w:rsidR="00277F42">
              <w:t xml:space="preserve"> </w:t>
            </w:r>
            <w:r>
              <w:t xml:space="preserve">at the heart of our thinking </w:t>
            </w:r>
            <w:r w:rsidR="00277F42">
              <w:t>– the goal is NEW comprehension</w:t>
            </w:r>
          </w:p>
          <w:p w14:paraId="0FE1C92C" w14:textId="4C85E819" w:rsidR="00E53397" w:rsidRDefault="00E53397" w:rsidP="005E2AAA">
            <w:r>
              <w:t xml:space="preserve">One way to get to deeper comprehension is Close Reading; one strategy within Close </w:t>
            </w:r>
            <w:r>
              <w:lastRenderedPageBreak/>
              <w:t>Reading is Guided Highlighted Reading.</w:t>
            </w:r>
          </w:p>
          <w:p w14:paraId="69B33B38" w14:textId="283C0886" w:rsidR="00E53397" w:rsidRPr="006D2F01" w:rsidRDefault="00071395" w:rsidP="005E2AAA">
            <w:pPr>
              <w:rPr>
                <w:color w:val="FF0000"/>
              </w:rPr>
            </w:pPr>
            <w:r w:rsidRPr="00071395">
              <w:rPr>
                <w:color w:val="FF0000"/>
              </w:rPr>
              <w:t>HANDOUT</w:t>
            </w:r>
            <w:r w:rsidR="00B53997">
              <w:rPr>
                <w:color w:val="FF0000"/>
              </w:rPr>
              <w:t xml:space="preserve"> – Comprehension Circles graphic w/heart</w:t>
            </w:r>
          </w:p>
        </w:tc>
        <w:tc>
          <w:tcPr>
            <w:tcW w:w="2538" w:type="dxa"/>
          </w:tcPr>
          <w:p w14:paraId="1BF3CB4E" w14:textId="42F146F8" w:rsidR="005E2AAA" w:rsidRDefault="005E2AAA" w:rsidP="005E2AAA">
            <w:pPr>
              <w:rPr>
                <w:b/>
                <w:color w:val="008000"/>
              </w:rPr>
            </w:pPr>
          </w:p>
        </w:tc>
      </w:tr>
      <w:tr w:rsidR="005E2AAA" w14:paraId="4F1B50B1" w14:textId="77777777" w:rsidTr="005E2AAA">
        <w:tc>
          <w:tcPr>
            <w:tcW w:w="1548" w:type="dxa"/>
          </w:tcPr>
          <w:p w14:paraId="7AA681D2" w14:textId="06D2D90D" w:rsidR="000D718E" w:rsidRDefault="000D718E" w:rsidP="00F8539C">
            <w:r>
              <w:lastRenderedPageBreak/>
              <w:t>60 minutes</w:t>
            </w:r>
          </w:p>
        </w:tc>
        <w:tc>
          <w:tcPr>
            <w:tcW w:w="4770" w:type="dxa"/>
          </w:tcPr>
          <w:p w14:paraId="5E6995FE" w14:textId="1F299D95" w:rsidR="005E2AAA" w:rsidRDefault="006D2F01" w:rsidP="005E2AAA">
            <w:r w:rsidRPr="006D2F01">
              <w:rPr>
                <w:color w:val="0000FF"/>
              </w:rPr>
              <w:t>(Slide 22)</w:t>
            </w:r>
            <w:r>
              <w:t xml:space="preserve">  Now we want you to do try it.  To understand the process, you need to struggle with something hard.  The directions are on slide 22.  They will use the </w:t>
            </w:r>
            <w:r w:rsidRPr="00393CAC">
              <w:rPr>
                <w:color w:val="FF0000"/>
              </w:rPr>
              <w:t>15</w:t>
            </w:r>
            <w:r w:rsidRPr="00393CAC">
              <w:rPr>
                <w:color w:val="FF0000"/>
                <w:vertAlign w:val="superscript"/>
              </w:rPr>
              <w:t>th</w:t>
            </w:r>
            <w:r w:rsidRPr="00393CAC">
              <w:rPr>
                <w:color w:val="FF0000"/>
              </w:rPr>
              <w:t xml:space="preserve"> Amendment</w:t>
            </w:r>
            <w:r w:rsidR="00393CAC">
              <w:t xml:space="preserve"> </w:t>
            </w:r>
            <w:r w:rsidR="00393CAC" w:rsidRPr="00393CAC">
              <w:rPr>
                <w:color w:val="FF0000"/>
              </w:rPr>
              <w:t>HANDOUT</w:t>
            </w:r>
            <w:r>
              <w:t xml:space="preserve"> selection in their packet.</w:t>
            </w:r>
            <w:r w:rsidR="00393CAC">
              <w:t xml:space="preserve">  Also have them look at the Text Complexity Analysis Worksheet  (Aspen Institute) </w:t>
            </w:r>
            <w:r w:rsidR="00393CAC" w:rsidRPr="00393CAC">
              <w:rPr>
                <w:color w:val="FF0000"/>
              </w:rPr>
              <w:t>HANDOUT</w:t>
            </w:r>
            <w:r w:rsidR="00393CAC">
              <w:t>.</w:t>
            </w:r>
          </w:p>
        </w:tc>
        <w:tc>
          <w:tcPr>
            <w:tcW w:w="2538" w:type="dxa"/>
          </w:tcPr>
          <w:p w14:paraId="13AC2BDC" w14:textId="4C7E0CFA" w:rsidR="005E2AAA" w:rsidRDefault="005E2AAA" w:rsidP="005E2AAA">
            <w:pPr>
              <w:rPr>
                <w:b/>
                <w:color w:val="008000"/>
              </w:rPr>
            </w:pPr>
            <w:bookmarkStart w:id="0" w:name="_GoBack"/>
            <w:bookmarkEnd w:id="0"/>
          </w:p>
        </w:tc>
      </w:tr>
      <w:tr w:rsidR="005E2AAA" w14:paraId="63BD3954" w14:textId="77777777" w:rsidTr="005E2AAA">
        <w:tc>
          <w:tcPr>
            <w:tcW w:w="1548" w:type="dxa"/>
          </w:tcPr>
          <w:p w14:paraId="65F371DC" w14:textId="78F16C8C" w:rsidR="000D718E" w:rsidRDefault="000D718E" w:rsidP="00F8539C">
            <w:r>
              <w:t>10 minutes</w:t>
            </w:r>
          </w:p>
        </w:tc>
        <w:tc>
          <w:tcPr>
            <w:tcW w:w="4770" w:type="dxa"/>
          </w:tcPr>
          <w:p w14:paraId="6D11C0F7" w14:textId="564FB536" w:rsidR="00277F42" w:rsidRPr="006D2F01" w:rsidRDefault="006D2F01" w:rsidP="005E2AAA">
            <w:r w:rsidRPr="006D2F01">
              <w:t xml:space="preserve">Now let’s </w:t>
            </w:r>
            <w:r>
              <w:t xml:space="preserve">look at another grade level example.  Run through the Fisher &amp; Fry slides from the Michigan ASCD presentation quickly, where he uses </w:t>
            </w:r>
            <w:r w:rsidRPr="006D2F01">
              <w:rPr>
                <w:i/>
              </w:rPr>
              <w:t>The Day the Crayons Quit</w:t>
            </w:r>
            <w:r>
              <w:t xml:space="preserve"> as his example.</w:t>
            </w:r>
            <w:r w:rsidR="00393CAC">
              <w:t xml:space="preserve">  Refer to the Worksheet for Analysis of Text Complexity of a Literacy Text </w:t>
            </w:r>
            <w:r w:rsidR="00393CAC" w:rsidRPr="00393CAC">
              <w:rPr>
                <w:color w:val="FF0000"/>
              </w:rPr>
              <w:t>HANDOUT</w:t>
            </w:r>
          </w:p>
        </w:tc>
        <w:tc>
          <w:tcPr>
            <w:tcW w:w="2538" w:type="dxa"/>
          </w:tcPr>
          <w:p w14:paraId="5D24B193" w14:textId="61DD87C9" w:rsidR="005E2AAA" w:rsidRDefault="005E2AAA" w:rsidP="005E2AAA">
            <w:pPr>
              <w:rPr>
                <w:b/>
                <w:color w:val="008000"/>
              </w:rPr>
            </w:pPr>
          </w:p>
        </w:tc>
      </w:tr>
      <w:tr w:rsidR="00277F42" w14:paraId="169B2983" w14:textId="77777777" w:rsidTr="005E2AAA">
        <w:tc>
          <w:tcPr>
            <w:tcW w:w="1548" w:type="dxa"/>
          </w:tcPr>
          <w:p w14:paraId="58C7DDB6" w14:textId="4424BE53" w:rsidR="000D718E" w:rsidRDefault="000D718E" w:rsidP="00F8539C">
            <w:r>
              <w:t>10 minutes</w:t>
            </w:r>
          </w:p>
        </w:tc>
        <w:tc>
          <w:tcPr>
            <w:tcW w:w="4770" w:type="dxa"/>
          </w:tcPr>
          <w:p w14:paraId="06918489" w14:textId="21F951D5" w:rsidR="00277F42" w:rsidRPr="00D36788" w:rsidRDefault="00277F42" w:rsidP="005E2AAA">
            <w:pPr>
              <w:rPr>
                <w:color w:val="0000FF"/>
              </w:rPr>
            </w:pPr>
            <w:r>
              <w:t xml:space="preserve">Assignment for next </w:t>
            </w:r>
            <w:proofErr w:type="gramStart"/>
            <w:r>
              <w:t>time</w:t>
            </w:r>
            <w:r w:rsidR="00071395">
              <w:t xml:space="preserve">  </w:t>
            </w:r>
            <w:r w:rsidR="00071395" w:rsidRPr="00071395">
              <w:rPr>
                <w:color w:val="FF0000"/>
              </w:rPr>
              <w:t>HANDOUT</w:t>
            </w:r>
            <w:proofErr w:type="gramEnd"/>
            <w:r w:rsidR="00D36788">
              <w:rPr>
                <w:color w:val="FF0000"/>
              </w:rPr>
              <w:t xml:space="preserve">  </w:t>
            </w:r>
            <w:r w:rsidR="006D2F01">
              <w:rPr>
                <w:color w:val="0000FF"/>
              </w:rPr>
              <w:t>(Slide 23</w:t>
            </w:r>
            <w:r w:rsidR="00D36788" w:rsidRPr="00D36788">
              <w:rPr>
                <w:color w:val="0000FF"/>
              </w:rPr>
              <w:t>)</w:t>
            </w:r>
          </w:p>
          <w:p w14:paraId="17962116" w14:textId="48478C81" w:rsidR="00277F42" w:rsidRPr="00D36788" w:rsidRDefault="00277F42" w:rsidP="005E2AAA">
            <w:pPr>
              <w:rPr>
                <w:color w:val="0000FF"/>
              </w:rPr>
            </w:pPr>
            <w:r>
              <w:t>Wrap up</w:t>
            </w:r>
            <w:r w:rsidR="00D36788">
              <w:t xml:space="preserve">  </w:t>
            </w:r>
            <w:r w:rsidR="006D2F01">
              <w:rPr>
                <w:color w:val="0000FF"/>
              </w:rPr>
              <w:t>(Slide 24</w:t>
            </w:r>
            <w:r w:rsidR="00D36788" w:rsidRPr="00D36788">
              <w:rPr>
                <w:color w:val="0000FF"/>
              </w:rPr>
              <w:t>)</w:t>
            </w:r>
          </w:p>
          <w:p w14:paraId="75800E00" w14:textId="46D7D73F" w:rsidR="00277F42" w:rsidRDefault="00277F42" w:rsidP="005E2AAA">
            <w:r>
              <w:t>Ticket out the door</w:t>
            </w:r>
            <w:r w:rsidR="000F5A14">
              <w:t xml:space="preserve"> </w:t>
            </w:r>
            <w:r w:rsidR="000F5A14" w:rsidRPr="000F5A14">
              <w:rPr>
                <w:color w:val="FF0000"/>
              </w:rPr>
              <w:t>HANDOUT</w:t>
            </w:r>
          </w:p>
        </w:tc>
        <w:tc>
          <w:tcPr>
            <w:tcW w:w="2538" w:type="dxa"/>
          </w:tcPr>
          <w:p w14:paraId="4CA5FB01" w14:textId="50A65F80" w:rsidR="00277F42" w:rsidRDefault="00277F42" w:rsidP="005E2AAA">
            <w:pPr>
              <w:rPr>
                <w:b/>
                <w:color w:val="008000"/>
              </w:rPr>
            </w:pPr>
          </w:p>
        </w:tc>
      </w:tr>
    </w:tbl>
    <w:p w14:paraId="1BB9EEAC" w14:textId="77777777" w:rsidR="00833F7E" w:rsidRDefault="00833F7E"/>
    <w:p w14:paraId="2A508F00" w14:textId="4DFA4120" w:rsidR="00833F7E" w:rsidRDefault="00833F7E" w:rsidP="006D2F01">
      <w:r>
        <w:t>Email ahead of time:</w:t>
      </w:r>
    </w:p>
    <w:p w14:paraId="69D52F11" w14:textId="6682E090" w:rsidR="006D2F01" w:rsidRDefault="007B4BF0" w:rsidP="006D2F01">
      <w:pPr>
        <w:pStyle w:val="ListParagraph"/>
      </w:pPr>
      <w:r>
        <w:t>Closely Reading Informational Text in the Primary Grades (Fisher &amp; Frey)</w:t>
      </w:r>
    </w:p>
    <w:sectPr w:rsidR="006D2F01" w:rsidSect="00F51F1F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31FB"/>
    <w:multiLevelType w:val="hybridMultilevel"/>
    <w:tmpl w:val="3032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C"/>
    <w:rsid w:val="00071395"/>
    <w:rsid w:val="000D718E"/>
    <w:rsid w:val="000F5A14"/>
    <w:rsid w:val="00107D69"/>
    <w:rsid w:val="00127225"/>
    <w:rsid w:val="00180040"/>
    <w:rsid w:val="00257AF0"/>
    <w:rsid w:val="00277F42"/>
    <w:rsid w:val="0029161B"/>
    <w:rsid w:val="00393CAC"/>
    <w:rsid w:val="004B549F"/>
    <w:rsid w:val="00566854"/>
    <w:rsid w:val="005E2AAA"/>
    <w:rsid w:val="006D2F01"/>
    <w:rsid w:val="007B4BF0"/>
    <w:rsid w:val="00833F7E"/>
    <w:rsid w:val="00B001AD"/>
    <w:rsid w:val="00B53997"/>
    <w:rsid w:val="00D36788"/>
    <w:rsid w:val="00D624D0"/>
    <w:rsid w:val="00E53397"/>
    <w:rsid w:val="00E534E5"/>
    <w:rsid w:val="00F51F1F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9F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Mick</dc:creator>
  <cp:keywords/>
  <dc:description/>
  <cp:lastModifiedBy>Barbara Mick</cp:lastModifiedBy>
  <cp:revision>4</cp:revision>
  <dcterms:created xsi:type="dcterms:W3CDTF">2015-03-12T02:45:00Z</dcterms:created>
  <dcterms:modified xsi:type="dcterms:W3CDTF">2015-04-10T15:47:00Z</dcterms:modified>
</cp:coreProperties>
</file>